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990DCE">
      <w:pPr>
        <w:widowControl/>
        <w:adjustRightInd/>
        <w:spacing w:line="600" w:lineRule="exact"/>
        <w:contextualSpacing/>
        <w:textAlignment w:val="auto"/>
        <w:rPr>
          <w:rFonts w:hint="eastAsia" w:eastAsia="黑体"/>
          <w:sz w:val="32"/>
          <w:szCs w:val="32"/>
          <w:lang w:val="en-US" w:eastAsia="zh-CN"/>
        </w:rPr>
      </w:pPr>
      <w:r>
        <w:rPr>
          <w:rFonts w:eastAsia="黑体"/>
          <w:sz w:val="32"/>
          <w:szCs w:val="32"/>
        </w:rPr>
        <w:t>附件</w:t>
      </w:r>
      <w:r>
        <w:rPr>
          <w:rFonts w:hint="eastAsia" w:eastAsia="黑体"/>
          <w:sz w:val="32"/>
          <w:szCs w:val="32"/>
          <w:lang w:val="en-US" w:eastAsia="zh-CN"/>
        </w:rPr>
        <w:t>4</w:t>
      </w:r>
    </w:p>
    <w:p w14:paraId="2DB391AC">
      <w:pPr>
        <w:spacing w:line="566" w:lineRule="exact"/>
        <w:rPr>
          <w:rFonts w:eastAsia="黑体"/>
          <w:sz w:val="32"/>
          <w:szCs w:val="32"/>
        </w:rPr>
      </w:pPr>
      <w:bookmarkStart w:id="2" w:name="_GoBack"/>
      <w:bookmarkEnd w:id="2"/>
    </w:p>
    <w:p w14:paraId="5CE83472">
      <w:pPr>
        <w:adjustRightInd/>
        <w:spacing w:line="566" w:lineRule="exact"/>
        <w:jc w:val="center"/>
        <w:textAlignment w:val="auto"/>
        <w:rPr>
          <w:rFonts w:eastAsia="方正小标宋简体"/>
          <w:bCs/>
          <w:sz w:val="44"/>
          <w:szCs w:val="44"/>
        </w:rPr>
      </w:pPr>
      <w:r>
        <w:rPr>
          <w:rFonts w:eastAsia="方正小标宋简体"/>
          <w:bCs/>
          <w:sz w:val="44"/>
          <w:szCs w:val="44"/>
        </w:rPr>
        <w:t>第十届教育部科学研究优秀成果奖</w:t>
      </w:r>
    </w:p>
    <w:p w14:paraId="5330E5C2">
      <w:pPr>
        <w:adjustRightInd/>
        <w:spacing w:line="566" w:lineRule="exact"/>
        <w:jc w:val="center"/>
        <w:textAlignment w:val="auto"/>
        <w:rPr>
          <w:rFonts w:eastAsia="方正小标宋简体"/>
          <w:bCs/>
          <w:sz w:val="44"/>
          <w:szCs w:val="44"/>
        </w:rPr>
      </w:pPr>
      <w:r>
        <w:rPr>
          <w:rFonts w:eastAsia="方正小标宋简体"/>
          <w:bCs/>
          <w:sz w:val="44"/>
          <w:szCs w:val="44"/>
        </w:rPr>
        <w:t>（人文社会科学）</w:t>
      </w:r>
      <w:r>
        <w:rPr>
          <w:rFonts w:hint="eastAsia" w:eastAsia="方正小标宋简体"/>
          <w:bCs/>
          <w:sz w:val="44"/>
          <w:szCs w:val="44"/>
        </w:rPr>
        <w:t>“</w:t>
      </w:r>
      <w:r>
        <w:rPr>
          <w:rFonts w:eastAsia="方正小标宋简体"/>
          <w:bCs/>
          <w:sz w:val="44"/>
          <w:szCs w:val="44"/>
        </w:rPr>
        <w:t>教育科学研究</w:t>
      </w:r>
      <w:r>
        <w:rPr>
          <w:rFonts w:hint="eastAsia" w:eastAsia="方正小标宋简体"/>
          <w:bCs/>
          <w:sz w:val="44"/>
          <w:szCs w:val="44"/>
        </w:rPr>
        <w:t>”</w:t>
      </w:r>
      <w:r>
        <w:rPr>
          <w:rFonts w:eastAsia="方正小标宋简体"/>
          <w:bCs/>
          <w:sz w:val="44"/>
          <w:szCs w:val="44"/>
        </w:rPr>
        <w:t>专区</w:t>
      </w:r>
    </w:p>
    <w:p w14:paraId="15EB3658">
      <w:pPr>
        <w:adjustRightInd/>
        <w:spacing w:line="566" w:lineRule="exact"/>
        <w:jc w:val="center"/>
        <w:textAlignment w:val="auto"/>
        <w:rPr>
          <w:rFonts w:eastAsia="方正小标宋简体"/>
          <w:bCs/>
          <w:sz w:val="44"/>
          <w:szCs w:val="44"/>
        </w:rPr>
      </w:pPr>
      <w:r>
        <w:rPr>
          <w:rFonts w:eastAsia="方正小标宋简体"/>
          <w:bCs/>
          <w:sz w:val="44"/>
          <w:szCs w:val="44"/>
        </w:rPr>
        <w:t>申报答疑</w:t>
      </w:r>
    </w:p>
    <w:p w14:paraId="7B9092E6">
      <w:pPr>
        <w:spacing w:line="566" w:lineRule="exact"/>
        <w:rPr>
          <w:rFonts w:eastAsia="仿宋_GB2312"/>
          <w:sz w:val="28"/>
          <w:szCs w:val="32"/>
        </w:rPr>
      </w:pPr>
    </w:p>
    <w:p w14:paraId="746085F3">
      <w:pPr>
        <w:spacing w:line="566" w:lineRule="exact"/>
        <w:ind w:firstLine="643" w:firstLineChars="200"/>
        <w:rPr>
          <w:rFonts w:eastAsia="仿宋_GB2312"/>
          <w:b/>
          <w:sz w:val="32"/>
          <w:szCs w:val="32"/>
        </w:rPr>
      </w:pPr>
      <w:r>
        <w:rPr>
          <w:rFonts w:eastAsia="仿宋_GB2312"/>
          <w:b/>
          <w:sz w:val="32"/>
          <w:szCs w:val="32"/>
        </w:rPr>
        <w:t>1.</w:t>
      </w:r>
      <w:r>
        <w:rPr>
          <w:rFonts w:hint="eastAsia" w:eastAsia="仿宋_GB2312"/>
          <w:b/>
          <w:sz w:val="32"/>
          <w:szCs w:val="32"/>
        </w:rPr>
        <w:t>“</w:t>
      </w:r>
      <w:r>
        <w:rPr>
          <w:rFonts w:eastAsia="仿宋_GB2312"/>
          <w:b/>
          <w:sz w:val="32"/>
          <w:szCs w:val="32"/>
        </w:rPr>
        <w:t>教育科学研究</w:t>
      </w:r>
      <w:r>
        <w:rPr>
          <w:rFonts w:hint="eastAsia" w:eastAsia="仿宋_GB2312"/>
          <w:b/>
          <w:sz w:val="32"/>
          <w:szCs w:val="32"/>
        </w:rPr>
        <w:t>”</w:t>
      </w:r>
      <w:r>
        <w:rPr>
          <w:rFonts w:eastAsia="仿宋_GB2312"/>
          <w:b/>
          <w:sz w:val="32"/>
          <w:szCs w:val="32"/>
        </w:rPr>
        <w:t>专区是指什么？</w:t>
      </w:r>
    </w:p>
    <w:p w14:paraId="35FFB9FB">
      <w:pPr>
        <w:snapToGrid w:val="0"/>
        <w:spacing w:line="566" w:lineRule="exact"/>
        <w:ind w:firstLine="640" w:firstLineChars="200"/>
        <w:rPr>
          <w:rFonts w:eastAsia="仿宋_GB2312"/>
          <w:sz w:val="32"/>
          <w:szCs w:val="32"/>
        </w:rPr>
      </w:pPr>
      <w:r>
        <w:rPr>
          <w:rFonts w:eastAsia="仿宋_GB2312"/>
          <w:sz w:val="32"/>
          <w:szCs w:val="32"/>
        </w:rPr>
        <w:t>——根据有关要求，原</w:t>
      </w:r>
      <w:r>
        <w:rPr>
          <w:rFonts w:hint="eastAsia" w:eastAsia="仿宋_GB2312"/>
          <w:sz w:val="32"/>
          <w:szCs w:val="32"/>
        </w:rPr>
        <w:t>“</w:t>
      </w:r>
      <w:r>
        <w:rPr>
          <w:rFonts w:eastAsia="仿宋_GB2312"/>
          <w:sz w:val="32"/>
          <w:szCs w:val="32"/>
        </w:rPr>
        <w:t>高等学校科学研究优秀成果奖</w:t>
      </w:r>
      <w:r>
        <w:rPr>
          <w:rFonts w:hint="eastAsia" w:eastAsia="仿宋_GB2312"/>
          <w:sz w:val="32"/>
          <w:szCs w:val="32"/>
        </w:rPr>
        <w:t>”</w:t>
      </w:r>
      <w:r>
        <w:rPr>
          <w:rFonts w:eastAsia="仿宋_GB2312"/>
          <w:sz w:val="32"/>
          <w:szCs w:val="32"/>
        </w:rPr>
        <w:t>与原</w:t>
      </w:r>
      <w:r>
        <w:rPr>
          <w:rFonts w:hint="eastAsia" w:eastAsia="仿宋_GB2312"/>
          <w:sz w:val="32"/>
          <w:szCs w:val="32"/>
        </w:rPr>
        <w:t>“</w:t>
      </w:r>
      <w:r>
        <w:rPr>
          <w:rFonts w:eastAsia="仿宋_GB2312"/>
          <w:sz w:val="32"/>
          <w:szCs w:val="32"/>
        </w:rPr>
        <w:t>全国教育科学优秀成果奖</w:t>
      </w:r>
      <w:r>
        <w:rPr>
          <w:rFonts w:hint="eastAsia" w:eastAsia="仿宋_GB2312"/>
          <w:sz w:val="32"/>
          <w:szCs w:val="32"/>
        </w:rPr>
        <w:t>”</w:t>
      </w:r>
      <w:r>
        <w:rPr>
          <w:rFonts w:eastAsia="仿宋_GB2312"/>
          <w:sz w:val="32"/>
          <w:szCs w:val="32"/>
        </w:rPr>
        <w:t>进行整合，设置为</w:t>
      </w:r>
      <w:r>
        <w:rPr>
          <w:rFonts w:hint="eastAsia" w:eastAsia="仿宋_GB2312"/>
          <w:sz w:val="32"/>
          <w:szCs w:val="32"/>
        </w:rPr>
        <w:t>“</w:t>
      </w:r>
      <w:r>
        <w:rPr>
          <w:rFonts w:eastAsia="仿宋_GB2312"/>
          <w:sz w:val="32"/>
          <w:szCs w:val="32"/>
        </w:rPr>
        <w:t>教育部科学研究优秀成果奖（人文社会科学）</w:t>
      </w:r>
      <w:r>
        <w:rPr>
          <w:rFonts w:hint="eastAsia" w:eastAsia="仿宋_GB2312"/>
          <w:sz w:val="32"/>
          <w:szCs w:val="32"/>
        </w:rPr>
        <w:t>”</w:t>
      </w:r>
      <w:r>
        <w:rPr>
          <w:rFonts w:eastAsia="仿宋_GB2312"/>
          <w:sz w:val="32"/>
          <w:szCs w:val="32"/>
        </w:rPr>
        <w:t>。本届评奖单设</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专区，由原</w:t>
      </w:r>
      <w:r>
        <w:rPr>
          <w:rFonts w:hint="eastAsia" w:eastAsia="仿宋_GB2312"/>
          <w:sz w:val="32"/>
          <w:szCs w:val="32"/>
        </w:rPr>
        <w:t>“</w:t>
      </w:r>
      <w:r>
        <w:rPr>
          <w:rFonts w:eastAsia="仿宋_GB2312"/>
          <w:sz w:val="32"/>
          <w:szCs w:val="32"/>
        </w:rPr>
        <w:t>全国教育科学研究优秀成果奖</w:t>
      </w:r>
      <w:r>
        <w:rPr>
          <w:rFonts w:hint="eastAsia" w:eastAsia="仿宋_GB2312"/>
          <w:sz w:val="32"/>
          <w:szCs w:val="32"/>
        </w:rPr>
        <w:t>”</w:t>
      </w:r>
      <w:r>
        <w:rPr>
          <w:rFonts w:eastAsia="仿宋_GB2312"/>
          <w:sz w:val="32"/>
          <w:szCs w:val="32"/>
        </w:rPr>
        <w:t>受理成果范围与本奖</w:t>
      </w:r>
      <w:r>
        <w:rPr>
          <w:rFonts w:hint="eastAsia" w:eastAsia="仿宋_GB2312"/>
          <w:sz w:val="32"/>
          <w:szCs w:val="32"/>
        </w:rPr>
        <w:t>“</w:t>
      </w:r>
      <w:r>
        <w:rPr>
          <w:rFonts w:eastAsia="仿宋_GB2312"/>
          <w:sz w:val="32"/>
          <w:szCs w:val="32"/>
        </w:rPr>
        <w:t>教育学</w:t>
      </w:r>
      <w:r>
        <w:rPr>
          <w:rFonts w:hint="eastAsia" w:eastAsia="仿宋_GB2312"/>
          <w:sz w:val="32"/>
          <w:szCs w:val="32"/>
        </w:rPr>
        <w:t>”</w:t>
      </w:r>
      <w:r>
        <w:rPr>
          <w:rFonts w:eastAsia="仿宋_GB2312"/>
          <w:sz w:val="32"/>
          <w:szCs w:val="32"/>
        </w:rPr>
        <w:t>合并设置。专区评奖由全国教育科学规划领导小组统筹领导，全国教育科学规划领导小组办公室（以下简称全规办）具体组织实施。</w:t>
      </w:r>
    </w:p>
    <w:p w14:paraId="2E8EB205">
      <w:pPr>
        <w:snapToGrid w:val="0"/>
        <w:spacing w:line="566" w:lineRule="exact"/>
        <w:ind w:firstLine="640" w:firstLineChars="200"/>
        <w:rPr>
          <w:rFonts w:eastAsia="仿宋_GB2312"/>
          <w:sz w:val="32"/>
          <w:szCs w:val="32"/>
        </w:rPr>
      </w:pPr>
      <w:r>
        <w:rPr>
          <w:rFonts w:eastAsia="仿宋_GB2312"/>
          <w:sz w:val="32"/>
          <w:szCs w:val="32"/>
        </w:rPr>
        <w:t>——专区面向全国普通高等学校、教育部直属单位、教育科研院所、地方教育行政部门、中小学校等，对教育学成果单独组织实施。</w:t>
      </w:r>
    </w:p>
    <w:p w14:paraId="33502982">
      <w:pPr>
        <w:spacing w:line="566" w:lineRule="exact"/>
        <w:ind w:firstLine="643" w:firstLineChars="200"/>
        <w:rPr>
          <w:rFonts w:eastAsia="仿宋_GB2312"/>
          <w:b/>
          <w:sz w:val="32"/>
          <w:szCs w:val="32"/>
        </w:rPr>
      </w:pPr>
      <w:r>
        <w:rPr>
          <w:rFonts w:eastAsia="仿宋_GB2312"/>
          <w:b/>
          <w:sz w:val="32"/>
          <w:szCs w:val="32"/>
        </w:rPr>
        <w:t>2.关于“二级管理单位”是如何规定的？</w:t>
      </w:r>
    </w:p>
    <w:p w14:paraId="255522D7">
      <w:pPr>
        <w:snapToGrid w:val="0"/>
        <w:spacing w:line="566" w:lineRule="exact"/>
        <w:ind w:firstLine="640" w:firstLineChars="200"/>
        <w:rPr>
          <w:rFonts w:eastAsia="仿宋_GB2312"/>
          <w:sz w:val="32"/>
          <w:szCs w:val="32"/>
        </w:rPr>
      </w:pPr>
      <w:r>
        <w:rPr>
          <w:rFonts w:eastAsia="仿宋_GB2312"/>
          <w:sz w:val="32"/>
          <w:szCs w:val="32"/>
        </w:rPr>
        <w:t>——教育部直属高校、其他有关部门（单位）所属高校、部省合建高校、教育部直属单位以其科研管理部门为单位，地方高校、地方教育科研院所、地方教育行政部门、中小学校等以所在省级教育行政部门（指定同级教育科学规划领导小组办公室具体负责）为单位组织集中申报、审核和推荐。全规办不直接受理个人申报。</w:t>
      </w:r>
    </w:p>
    <w:p w14:paraId="4E2657F0">
      <w:pPr>
        <w:snapToGrid w:val="0"/>
        <w:spacing w:line="566" w:lineRule="exact"/>
        <w:ind w:firstLine="640" w:firstLineChars="200"/>
        <w:rPr>
          <w:rFonts w:eastAsia="仿宋_GB2312"/>
          <w:sz w:val="32"/>
          <w:szCs w:val="32"/>
        </w:rPr>
      </w:pPr>
      <w:r>
        <w:rPr>
          <w:rFonts w:eastAsia="仿宋_GB2312"/>
          <w:sz w:val="32"/>
          <w:szCs w:val="32"/>
        </w:rPr>
        <w:t>——上述科研管理部门以及省级教育科学规划领导小组办公室等为“教育科学研究”专区的二级管理单位。</w:t>
      </w:r>
    </w:p>
    <w:p w14:paraId="3008771E">
      <w:pPr>
        <w:spacing w:line="566" w:lineRule="exact"/>
        <w:ind w:firstLine="643" w:firstLineChars="200"/>
        <w:rPr>
          <w:rFonts w:eastAsia="仿宋_GB2312"/>
          <w:b/>
          <w:sz w:val="32"/>
          <w:szCs w:val="32"/>
        </w:rPr>
      </w:pPr>
      <w:r>
        <w:rPr>
          <w:rFonts w:eastAsia="仿宋_GB2312"/>
          <w:b/>
          <w:sz w:val="32"/>
          <w:szCs w:val="32"/>
        </w:rPr>
        <w:t>3.是否实行限额申报，名额是如何确定的？</w:t>
      </w:r>
    </w:p>
    <w:p w14:paraId="4FCE8713">
      <w:pPr>
        <w:spacing w:line="566" w:lineRule="exact"/>
        <w:ind w:firstLine="640" w:firstLineChars="200"/>
        <w:rPr>
          <w:rFonts w:eastAsia="仿宋_GB2312"/>
          <w:sz w:val="32"/>
          <w:szCs w:val="32"/>
        </w:rPr>
      </w:pPr>
      <w:r>
        <w:rPr>
          <w:rFonts w:eastAsia="仿宋_GB2312"/>
          <w:sz w:val="32"/>
          <w:szCs w:val="32"/>
        </w:rPr>
        <w:t>——专区评奖工作所涉的二级管理单位均实行限额申报，申报名额共计1500项左右。具体申报名额经综合测算后确定，各二级管理单位以本单位账号登录全规办官方网站评奖申报系统查看申报名额。</w:t>
      </w:r>
    </w:p>
    <w:p w14:paraId="4120C130">
      <w:pPr>
        <w:spacing w:line="566" w:lineRule="exact"/>
        <w:ind w:firstLine="643" w:firstLineChars="200"/>
        <w:rPr>
          <w:rFonts w:eastAsia="仿宋_GB2312"/>
          <w:b/>
          <w:sz w:val="32"/>
          <w:szCs w:val="32"/>
        </w:rPr>
      </w:pPr>
      <w:r>
        <w:rPr>
          <w:rFonts w:eastAsia="仿宋_GB2312"/>
          <w:b/>
          <w:sz w:val="32"/>
          <w:szCs w:val="32"/>
        </w:rPr>
        <w:t>4.参评成果时间范围是什么？</w:t>
      </w:r>
    </w:p>
    <w:p w14:paraId="20A02DC0">
      <w:pPr>
        <w:spacing w:line="566"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专区参评成果</w:t>
      </w:r>
      <w:r>
        <w:rPr>
          <w:rFonts w:hint="eastAsia" w:eastAsia="仿宋_GB2312"/>
          <w:sz w:val="32"/>
          <w:szCs w:val="32"/>
        </w:rPr>
        <w:t>时间范围</w:t>
      </w:r>
      <w:r>
        <w:rPr>
          <w:rFonts w:eastAsia="仿宋_GB2312"/>
          <w:sz w:val="32"/>
          <w:szCs w:val="32"/>
        </w:rPr>
        <w:t>为2021年1月1日至2024年12月31日，时限为四年。</w:t>
      </w:r>
    </w:p>
    <w:p w14:paraId="3C07D406">
      <w:pPr>
        <w:spacing w:line="566" w:lineRule="exact"/>
        <w:ind w:firstLine="640" w:firstLineChars="200"/>
        <w:rPr>
          <w:rFonts w:eastAsia="仿宋_GB2312"/>
          <w:sz w:val="32"/>
          <w:szCs w:val="32"/>
        </w:rPr>
      </w:pPr>
      <w:r>
        <w:rPr>
          <w:rFonts w:eastAsia="仿宋_GB2312"/>
          <w:sz w:val="32"/>
          <w:szCs w:val="32"/>
        </w:rPr>
        <w:t>——正式出版的著作，以公开在图书版权页标注的第一次出版时间为准；在期刊上发表的论文、研究报告，以公开在期刊版权页标注的第一次刊登的时间为准。咨询服务报告类成果被有关部门采纳的时间须在上述申报时限内。</w:t>
      </w:r>
    </w:p>
    <w:p w14:paraId="135DC9A4">
      <w:pPr>
        <w:spacing w:line="566" w:lineRule="exact"/>
        <w:ind w:firstLine="643" w:firstLineChars="200"/>
        <w:rPr>
          <w:rFonts w:eastAsia="仿宋_GB2312"/>
          <w:b/>
          <w:sz w:val="32"/>
          <w:szCs w:val="32"/>
        </w:rPr>
      </w:pPr>
      <w:r>
        <w:rPr>
          <w:rFonts w:eastAsia="仿宋_GB2312"/>
          <w:b/>
          <w:sz w:val="32"/>
          <w:szCs w:val="32"/>
        </w:rPr>
        <w:t>5.申报者可以填写几人？</w:t>
      </w:r>
    </w:p>
    <w:p w14:paraId="100D5BCB">
      <w:pPr>
        <w:pStyle w:val="11"/>
        <w:spacing w:line="566" w:lineRule="exact"/>
        <w:ind w:firstLine="640" w:firstLineChars="200"/>
        <w:jc w:val="both"/>
        <w:rPr>
          <w:rFonts w:eastAsia="仿宋_GB2312"/>
          <w:sz w:val="32"/>
          <w:szCs w:val="32"/>
        </w:rPr>
      </w:pPr>
      <w:r>
        <w:rPr>
          <w:rFonts w:eastAsia="仿宋_GB2312"/>
          <w:sz w:val="32"/>
          <w:szCs w:val="32"/>
        </w:rPr>
        <w:t>——申报者只能填写一人或一个团队、课题组、机构。</w:t>
      </w:r>
    </w:p>
    <w:p w14:paraId="6B872B99">
      <w:pPr>
        <w:spacing w:line="566" w:lineRule="exact"/>
        <w:ind w:firstLine="640" w:firstLineChars="200"/>
        <w:rPr>
          <w:rFonts w:eastAsia="仿宋_GB2312"/>
          <w:sz w:val="32"/>
          <w:szCs w:val="32"/>
        </w:rPr>
      </w:pPr>
      <w:r>
        <w:rPr>
          <w:rFonts w:eastAsia="仿宋_GB2312"/>
          <w:sz w:val="32"/>
          <w:szCs w:val="32"/>
        </w:rPr>
        <w:t>——成果署名为多人的，原则上由第一署名人或通讯作者申报，具体见本答疑第10条；成果署名为团队、课题组或机构的，只能以团队、课题组、机构名义申报，具体见本答疑第13条。</w:t>
      </w:r>
    </w:p>
    <w:p w14:paraId="3BA076E8">
      <w:pPr>
        <w:spacing w:line="566" w:lineRule="exact"/>
        <w:ind w:firstLine="640" w:firstLineChars="200"/>
        <w:rPr>
          <w:rFonts w:eastAsia="仿宋_GB2312"/>
          <w:sz w:val="32"/>
          <w:szCs w:val="32"/>
        </w:rPr>
      </w:pPr>
      <w:r>
        <w:rPr>
          <w:rFonts w:eastAsia="仿宋_GB2312"/>
          <w:sz w:val="32"/>
          <w:szCs w:val="32"/>
        </w:rPr>
        <w:t>——获奖证书有关内容与获奖成果信息保持一致。主要作者按成果实际署名排序，不包含作者所在单位。填报《专区申报评审表》时务必核对确认，提交以后不得更改。</w:t>
      </w:r>
    </w:p>
    <w:p w14:paraId="15FE7288">
      <w:pPr>
        <w:adjustRightInd/>
        <w:spacing w:line="566" w:lineRule="exact"/>
        <w:ind w:firstLine="643" w:firstLineChars="200"/>
        <w:textAlignment w:val="auto"/>
        <w:rPr>
          <w:rFonts w:eastAsia="仿宋_GB2312"/>
          <w:b/>
          <w:bCs/>
          <w:sz w:val="32"/>
          <w:szCs w:val="32"/>
        </w:rPr>
      </w:pPr>
      <w:r>
        <w:rPr>
          <w:rFonts w:eastAsia="仿宋_GB2312"/>
          <w:b/>
          <w:bCs/>
          <w:sz w:val="32"/>
          <w:szCs w:val="32"/>
        </w:rPr>
        <w:t>6.从兼职单位申报是怎么规定的？</w:t>
      </w:r>
    </w:p>
    <w:p w14:paraId="5D7C937C">
      <w:pPr>
        <w:adjustRightInd/>
        <w:spacing w:line="566" w:lineRule="exact"/>
        <w:ind w:firstLine="640" w:firstLineChars="200"/>
        <w:textAlignment w:val="auto"/>
        <w:rPr>
          <w:rFonts w:eastAsia="仿宋_GB2312"/>
          <w:sz w:val="32"/>
          <w:szCs w:val="32"/>
        </w:rPr>
      </w:pPr>
      <w:r>
        <w:rPr>
          <w:rFonts w:eastAsia="仿宋_GB2312"/>
          <w:sz w:val="32"/>
          <w:szCs w:val="32"/>
        </w:rPr>
        <w:t>——为鼓励科研合作与协同创新，在没有人事关系异议的情况下，且成果发表时署名标注兼职学校/单位的，可从兼职学校/单位申报。二级管理单位须承担相应管理职责。兼职申报人员须同时提供人事关系所在学校/单位同意申报函和兼职学校/单位的工作证明。</w:t>
      </w:r>
    </w:p>
    <w:p w14:paraId="0F32F236">
      <w:pPr>
        <w:spacing w:line="566" w:lineRule="exact"/>
        <w:ind w:firstLine="643" w:firstLineChars="200"/>
        <w:rPr>
          <w:rFonts w:eastAsia="仿宋_GB2312"/>
          <w:b/>
          <w:sz w:val="32"/>
          <w:szCs w:val="32"/>
        </w:rPr>
      </w:pPr>
      <w:r>
        <w:rPr>
          <w:rFonts w:eastAsia="仿宋_GB2312"/>
          <w:b/>
          <w:sz w:val="32"/>
          <w:szCs w:val="32"/>
        </w:rPr>
        <w:t>7.申报者人事关系是怎么规定的？</w:t>
      </w:r>
    </w:p>
    <w:p w14:paraId="3082C641">
      <w:pPr>
        <w:spacing w:line="566" w:lineRule="exact"/>
        <w:ind w:firstLine="640" w:firstLineChars="200"/>
        <w:rPr>
          <w:rFonts w:eastAsia="仿宋_GB2312"/>
          <w:sz w:val="32"/>
          <w:szCs w:val="32"/>
        </w:rPr>
      </w:pPr>
      <w:r>
        <w:rPr>
          <w:rFonts w:eastAsia="仿宋_GB2312"/>
          <w:sz w:val="32"/>
          <w:szCs w:val="32"/>
        </w:rPr>
        <w:t>——申报期间人事关系在申报学校/单位的教师和研究人员（包括离退休人员），不受职称、年龄、学历、岗位和国籍限制，均可从所在学校/单位申报。</w:t>
      </w:r>
    </w:p>
    <w:p w14:paraId="23FC6DC7">
      <w:pPr>
        <w:spacing w:line="566" w:lineRule="exact"/>
        <w:ind w:firstLine="640" w:firstLineChars="200"/>
        <w:rPr>
          <w:rFonts w:eastAsia="仿宋_GB2312"/>
          <w:sz w:val="32"/>
          <w:szCs w:val="32"/>
        </w:rPr>
      </w:pPr>
      <w:r>
        <w:rPr>
          <w:rFonts w:eastAsia="仿宋_GB2312"/>
          <w:sz w:val="32"/>
          <w:szCs w:val="32"/>
        </w:rPr>
        <w:t>——人事关系在专区限定的某一学校/单位（包括全国普通高等学校、教育部直属单位、教育科研院所、地方教育行政部门、中小学校等），但同时又在专区限定的其他学校/单位兼职的，只能从人事关系所在学校/单位申报。</w:t>
      </w:r>
    </w:p>
    <w:p w14:paraId="260C2DAE">
      <w:pPr>
        <w:spacing w:line="566" w:lineRule="exact"/>
        <w:ind w:firstLine="640" w:firstLineChars="200"/>
        <w:rPr>
          <w:rFonts w:eastAsia="仿宋_GB2312"/>
          <w:sz w:val="32"/>
          <w:szCs w:val="32"/>
        </w:rPr>
      </w:pPr>
      <w:r>
        <w:rPr>
          <w:rFonts w:eastAsia="仿宋_GB2312"/>
          <w:sz w:val="32"/>
          <w:szCs w:val="32"/>
        </w:rPr>
        <w:t>——申报期间人事关系在专区限定的学校/单位，但成果发表期间在专区限定的其他学校/单位任职或兼职的，可从原任职或兼职学校/单位申报。</w:t>
      </w:r>
    </w:p>
    <w:p w14:paraId="3C414381">
      <w:pPr>
        <w:spacing w:line="566" w:lineRule="exact"/>
        <w:ind w:firstLine="643" w:firstLineChars="200"/>
        <w:rPr>
          <w:rFonts w:eastAsia="仿宋_GB2312"/>
          <w:bCs/>
          <w:sz w:val="32"/>
          <w:szCs w:val="32"/>
        </w:rPr>
      </w:pPr>
      <w:r>
        <w:rPr>
          <w:rFonts w:eastAsia="仿宋_GB2312"/>
          <w:b/>
          <w:sz w:val="32"/>
          <w:szCs w:val="32"/>
        </w:rPr>
        <w:t>8.人事关系不在专区限定的学校/单位的兼职人员申报需满足哪些条件？</w:t>
      </w:r>
    </w:p>
    <w:p w14:paraId="2EC776CB">
      <w:pPr>
        <w:adjustRightInd/>
        <w:spacing w:line="566" w:lineRule="exact"/>
        <w:ind w:firstLine="640" w:firstLineChars="200"/>
        <w:textAlignment w:val="auto"/>
        <w:rPr>
          <w:rFonts w:eastAsia="仿宋_GB2312"/>
          <w:sz w:val="32"/>
          <w:szCs w:val="32"/>
        </w:rPr>
      </w:pPr>
      <w:r>
        <w:rPr>
          <w:rFonts w:eastAsia="仿宋_GB2312"/>
          <w:sz w:val="32"/>
          <w:szCs w:val="32"/>
        </w:rPr>
        <w:t>——人事关系不在专区限定的</w:t>
      </w:r>
      <w:bookmarkStart w:id="0" w:name="_Hlk207633008"/>
      <w:r>
        <w:rPr>
          <w:rFonts w:eastAsia="仿宋_GB2312"/>
          <w:sz w:val="32"/>
          <w:szCs w:val="32"/>
        </w:rPr>
        <w:t>学校/单位</w:t>
      </w:r>
      <w:bookmarkEnd w:id="0"/>
      <w:r>
        <w:rPr>
          <w:rFonts w:eastAsia="仿宋_GB2312"/>
          <w:sz w:val="32"/>
          <w:szCs w:val="32"/>
        </w:rPr>
        <w:t>，但在专区限定的学校/单位开展实质性研究工作的兼职人员，可从兼职学校/单位申报，但需同时符合以下条件：</w:t>
      </w:r>
    </w:p>
    <w:p w14:paraId="352515CD">
      <w:pPr>
        <w:spacing w:line="566" w:lineRule="exact"/>
        <w:ind w:firstLine="576" w:firstLineChars="180"/>
        <w:rPr>
          <w:rFonts w:eastAsia="仿宋_GB2312"/>
          <w:sz w:val="32"/>
          <w:szCs w:val="32"/>
        </w:rPr>
      </w:pPr>
      <w:r>
        <w:rPr>
          <w:rFonts w:eastAsia="仿宋_GB2312"/>
          <w:sz w:val="32"/>
          <w:szCs w:val="32"/>
        </w:rPr>
        <w:t>（1）必须是成果的第一署名人或论文的通讯作者。</w:t>
      </w:r>
    </w:p>
    <w:p w14:paraId="6AC21AF5">
      <w:pPr>
        <w:spacing w:line="566" w:lineRule="exact"/>
        <w:ind w:firstLine="576" w:firstLineChars="180"/>
        <w:rPr>
          <w:rFonts w:eastAsia="仿宋_GB2312"/>
          <w:sz w:val="32"/>
          <w:szCs w:val="32"/>
        </w:rPr>
      </w:pPr>
      <w:r>
        <w:rPr>
          <w:rFonts w:eastAsia="仿宋_GB2312"/>
          <w:sz w:val="32"/>
          <w:szCs w:val="32"/>
        </w:rPr>
        <w:t>（2）兼职人员与兼职学校/单位有实质性聘任关系，而不是挂名或参与临时性活动（需由兼职学校/单位人事部门开具相关证明，写明兼职工作时间、所属单位等）。</w:t>
      </w:r>
    </w:p>
    <w:p w14:paraId="33911FC4">
      <w:pPr>
        <w:spacing w:line="566" w:lineRule="exact"/>
        <w:ind w:firstLine="576" w:firstLineChars="180"/>
        <w:rPr>
          <w:rFonts w:eastAsia="仿宋_GB2312"/>
          <w:sz w:val="32"/>
          <w:szCs w:val="32"/>
        </w:rPr>
      </w:pPr>
      <w:r>
        <w:rPr>
          <w:rFonts w:eastAsia="仿宋_GB2312"/>
          <w:sz w:val="32"/>
          <w:szCs w:val="32"/>
        </w:rPr>
        <w:t>（3）成果发表时署名单位必须标注兼职学校/单位：著作类成果，在正文、作者简介、前言、后记等内容中应能体现出作者在兼职学校/单位的工作关系；论文类成果，作者的第一署名单位应是兼职学校/单位；咨询服务报告类成果，需提供材料证明该研究与兼职学校/单位之间的联系。</w:t>
      </w:r>
    </w:p>
    <w:p w14:paraId="617C7838">
      <w:pPr>
        <w:spacing w:line="566" w:lineRule="exact"/>
        <w:ind w:firstLine="640" w:firstLineChars="200"/>
        <w:rPr>
          <w:rFonts w:eastAsia="仿宋_GB2312"/>
          <w:sz w:val="32"/>
          <w:szCs w:val="32"/>
        </w:rPr>
      </w:pPr>
      <w:r>
        <w:rPr>
          <w:rFonts w:eastAsia="仿宋_GB2312"/>
          <w:sz w:val="32"/>
          <w:szCs w:val="32"/>
        </w:rPr>
        <w:t>（4）外籍兼职人员不能申报。</w:t>
      </w:r>
    </w:p>
    <w:p w14:paraId="7F1CEA43">
      <w:pPr>
        <w:spacing w:line="566" w:lineRule="exact"/>
        <w:ind w:firstLine="643" w:firstLineChars="200"/>
        <w:rPr>
          <w:rFonts w:eastAsia="仿宋_GB2312"/>
          <w:b/>
          <w:sz w:val="32"/>
          <w:szCs w:val="32"/>
        </w:rPr>
      </w:pPr>
      <w:r>
        <w:rPr>
          <w:rFonts w:eastAsia="仿宋_GB2312"/>
          <w:b/>
          <w:sz w:val="32"/>
          <w:szCs w:val="32"/>
        </w:rPr>
        <w:t>9.博士后研究人员是否可以申报？</w:t>
      </w:r>
    </w:p>
    <w:p w14:paraId="1353F817">
      <w:pPr>
        <w:spacing w:line="566" w:lineRule="exact"/>
        <w:ind w:firstLine="640" w:firstLineChars="200"/>
        <w:rPr>
          <w:rFonts w:eastAsia="仿宋_GB2312"/>
          <w:sz w:val="32"/>
          <w:szCs w:val="32"/>
        </w:rPr>
      </w:pPr>
      <w:r>
        <w:rPr>
          <w:rFonts w:eastAsia="仿宋_GB2312"/>
          <w:sz w:val="32"/>
          <w:szCs w:val="32"/>
        </w:rPr>
        <w:t>——可以申报。申报期间人事关系在专区限定的学校/单位的，通过人事关系所在学校/单位进行申报；申报期间人事关系不在专区限定的学校/单位</w:t>
      </w:r>
      <w:r>
        <w:rPr>
          <w:rFonts w:hint="eastAsia" w:eastAsia="仿宋_GB2312"/>
          <w:sz w:val="32"/>
          <w:szCs w:val="32"/>
        </w:rPr>
        <w:t>的</w:t>
      </w:r>
      <w:r>
        <w:rPr>
          <w:rFonts w:eastAsia="仿宋_GB2312"/>
          <w:sz w:val="32"/>
          <w:szCs w:val="32"/>
        </w:rPr>
        <w:t>，成果发表期间在</w:t>
      </w:r>
      <w:r>
        <w:rPr>
          <w:rFonts w:hint="eastAsia" w:eastAsia="仿宋_GB2312"/>
          <w:sz w:val="32"/>
          <w:szCs w:val="32"/>
        </w:rPr>
        <w:t>有关</w:t>
      </w:r>
      <w:r>
        <w:rPr>
          <w:rFonts w:eastAsia="仿宋_GB2312"/>
          <w:sz w:val="32"/>
          <w:szCs w:val="32"/>
        </w:rPr>
        <w:t>学校/单位任职或兼职，同时满足第</w:t>
      </w:r>
      <w:r>
        <w:rPr>
          <w:rFonts w:hint="eastAsia" w:eastAsia="仿宋_GB2312"/>
          <w:sz w:val="32"/>
          <w:szCs w:val="32"/>
        </w:rPr>
        <w:t>8</w:t>
      </w:r>
      <w:r>
        <w:rPr>
          <w:rFonts w:eastAsia="仿宋_GB2312"/>
          <w:sz w:val="32"/>
          <w:szCs w:val="32"/>
        </w:rPr>
        <w:t>条申报条件的，可从原任职或兼职学校/单位申报。</w:t>
      </w:r>
    </w:p>
    <w:p w14:paraId="176145A0">
      <w:pPr>
        <w:spacing w:line="566" w:lineRule="exact"/>
        <w:ind w:firstLine="639" w:firstLineChars="199"/>
        <w:rPr>
          <w:rFonts w:eastAsia="仿宋_GB2312"/>
          <w:b/>
          <w:sz w:val="32"/>
          <w:szCs w:val="32"/>
        </w:rPr>
      </w:pPr>
      <w:r>
        <w:rPr>
          <w:rFonts w:eastAsia="仿宋_GB2312"/>
          <w:b/>
          <w:sz w:val="32"/>
          <w:szCs w:val="32"/>
        </w:rPr>
        <w:t>10.成果署名为多人的成果如何申报？</w:t>
      </w:r>
    </w:p>
    <w:p w14:paraId="09B8D89B">
      <w:pPr>
        <w:spacing w:line="566" w:lineRule="exact"/>
        <w:ind w:firstLine="640" w:firstLineChars="200"/>
        <w:rPr>
          <w:rFonts w:eastAsia="仿宋_GB2312"/>
          <w:sz w:val="32"/>
          <w:szCs w:val="32"/>
        </w:rPr>
      </w:pPr>
      <w:r>
        <w:rPr>
          <w:rFonts w:eastAsia="仿宋_GB2312"/>
          <w:sz w:val="32"/>
          <w:szCs w:val="32"/>
        </w:rPr>
        <w:t>——成果署名为多人的成果，限一人申报，原则上应由第一署名人或通讯作者申报。</w:t>
      </w:r>
    </w:p>
    <w:p w14:paraId="135A5EBE">
      <w:pPr>
        <w:spacing w:line="566" w:lineRule="exact"/>
        <w:ind w:firstLine="640" w:firstLineChars="200"/>
        <w:rPr>
          <w:rFonts w:eastAsia="仿宋_GB2312"/>
          <w:sz w:val="32"/>
          <w:szCs w:val="32"/>
        </w:rPr>
      </w:pPr>
      <w:r>
        <w:rPr>
          <w:rFonts w:eastAsia="仿宋_GB2312"/>
          <w:sz w:val="32"/>
          <w:szCs w:val="32"/>
        </w:rPr>
        <w:t>——经其他作者同意，可由第一署名人和通讯作者之外作出主要贡献的作者申报。但需同时符合以下条件：</w:t>
      </w:r>
    </w:p>
    <w:p w14:paraId="0CF16DDA">
      <w:pPr>
        <w:spacing w:line="566" w:lineRule="exact"/>
        <w:ind w:firstLine="600"/>
        <w:rPr>
          <w:rFonts w:eastAsia="仿宋_GB2312"/>
          <w:sz w:val="32"/>
          <w:szCs w:val="32"/>
        </w:rPr>
      </w:pPr>
      <w:r>
        <w:rPr>
          <w:rFonts w:eastAsia="仿宋_GB2312"/>
          <w:sz w:val="32"/>
          <w:szCs w:val="32"/>
        </w:rPr>
        <w:t>（1）第一署名人和通讯作者未作为申报者申报。</w:t>
      </w:r>
    </w:p>
    <w:p w14:paraId="250FFAF8">
      <w:pPr>
        <w:spacing w:line="566" w:lineRule="exact"/>
        <w:ind w:firstLine="640" w:firstLineChars="200"/>
        <w:rPr>
          <w:rFonts w:eastAsia="仿宋_GB2312"/>
          <w:sz w:val="32"/>
          <w:szCs w:val="32"/>
        </w:rPr>
      </w:pPr>
      <w:r>
        <w:rPr>
          <w:rFonts w:eastAsia="仿宋_GB2312"/>
          <w:sz w:val="32"/>
          <w:szCs w:val="32"/>
        </w:rPr>
        <w:t>（2）需提供第一署名人和通讯作者签字的</w:t>
      </w:r>
      <w:r>
        <w:rPr>
          <w:rFonts w:hint="eastAsia" w:eastAsia="仿宋_GB2312"/>
          <w:sz w:val="32"/>
          <w:szCs w:val="32"/>
        </w:rPr>
        <w:t>“</w:t>
      </w:r>
      <w:r>
        <w:rPr>
          <w:rFonts w:eastAsia="仿宋_GB2312"/>
          <w:sz w:val="32"/>
          <w:szCs w:val="32"/>
        </w:rPr>
        <w:t>授权证明</w:t>
      </w:r>
      <w:r>
        <w:rPr>
          <w:rFonts w:hint="eastAsia" w:eastAsia="仿宋_GB2312"/>
          <w:sz w:val="32"/>
          <w:szCs w:val="32"/>
        </w:rPr>
        <w:t>”</w:t>
      </w:r>
      <w:r>
        <w:rPr>
          <w:rFonts w:eastAsia="仿宋_GB2312"/>
          <w:sz w:val="32"/>
          <w:szCs w:val="32"/>
        </w:rPr>
        <w:t>，并在</w:t>
      </w:r>
      <w:r>
        <w:rPr>
          <w:rFonts w:hint="eastAsia" w:eastAsia="仿宋_GB2312"/>
          <w:sz w:val="32"/>
          <w:szCs w:val="32"/>
        </w:rPr>
        <w:t>“</w:t>
      </w:r>
      <w:r>
        <w:rPr>
          <w:rFonts w:eastAsia="仿宋_GB2312"/>
          <w:sz w:val="32"/>
          <w:szCs w:val="32"/>
        </w:rPr>
        <w:t>授权证明</w:t>
      </w:r>
      <w:r>
        <w:rPr>
          <w:rFonts w:hint="eastAsia" w:eastAsia="仿宋_GB2312"/>
          <w:sz w:val="32"/>
          <w:szCs w:val="32"/>
        </w:rPr>
        <w:t>”</w:t>
      </w:r>
      <w:r>
        <w:rPr>
          <w:rFonts w:eastAsia="仿宋_GB2312"/>
          <w:sz w:val="32"/>
          <w:szCs w:val="32"/>
        </w:rPr>
        <w:t>中说明申报者在成果完成过程中所作的主要贡献。</w:t>
      </w:r>
    </w:p>
    <w:p w14:paraId="711BCD77">
      <w:pPr>
        <w:spacing w:line="566" w:lineRule="exact"/>
        <w:ind w:firstLine="640" w:firstLineChars="200"/>
        <w:rPr>
          <w:rFonts w:eastAsia="仿宋_GB2312"/>
          <w:sz w:val="32"/>
          <w:szCs w:val="32"/>
        </w:rPr>
      </w:pPr>
      <w:r>
        <w:rPr>
          <w:rFonts w:eastAsia="仿宋_GB2312"/>
          <w:sz w:val="32"/>
          <w:szCs w:val="32"/>
        </w:rPr>
        <w:t>——成果署名为多人的成果，由非第一署名人申报且获奖的，在奖励证书中的排名仍以成果的实际署名顺序为准，申报者位置不能提前。</w:t>
      </w:r>
    </w:p>
    <w:p w14:paraId="52A6321C">
      <w:pPr>
        <w:spacing w:line="566" w:lineRule="exact"/>
        <w:ind w:firstLine="643" w:firstLineChars="200"/>
        <w:rPr>
          <w:rFonts w:eastAsia="仿宋_GB2312"/>
          <w:b/>
          <w:sz w:val="32"/>
          <w:szCs w:val="32"/>
        </w:rPr>
      </w:pPr>
      <w:r>
        <w:rPr>
          <w:rFonts w:eastAsia="仿宋_GB2312"/>
          <w:b/>
          <w:sz w:val="32"/>
          <w:szCs w:val="32"/>
        </w:rPr>
        <w:t>11.已故作者成果如何申报？</w:t>
      </w:r>
    </w:p>
    <w:p w14:paraId="4CDD3AF5">
      <w:pPr>
        <w:spacing w:line="566" w:lineRule="exact"/>
        <w:ind w:firstLine="640" w:firstLineChars="200"/>
        <w:rPr>
          <w:rFonts w:eastAsia="仿宋_GB2312"/>
          <w:sz w:val="32"/>
          <w:szCs w:val="32"/>
        </w:rPr>
      </w:pPr>
      <w:r>
        <w:rPr>
          <w:rFonts w:eastAsia="仿宋_GB2312"/>
          <w:sz w:val="32"/>
          <w:szCs w:val="32"/>
        </w:rPr>
        <w:t>——已故作者的成果，系在本届评奖申报时限内首次公开出版、发表的，经法定继承人同意并出具授权证明，其独立完成的成果，可由作者生前所在单位提请申报；其作为第一署名人的合作成果，可由其他作出主要贡献的作者申报。</w:t>
      </w:r>
    </w:p>
    <w:p w14:paraId="5E2B9A3A">
      <w:pPr>
        <w:spacing w:line="566" w:lineRule="exact"/>
        <w:ind w:firstLine="643" w:firstLineChars="200"/>
        <w:rPr>
          <w:rFonts w:eastAsia="仿宋_GB2312"/>
          <w:b/>
          <w:sz w:val="32"/>
          <w:szCs w:val="32"/>
        </w:rPr>
      </w:pPr>
      <w:r>
        <w:rPr>
          <w:rFonts w:eastAsia="仿宋_GB2312"/>
          <w:b/>
          <w:sz w:val="32"/>
          <w:szCs w:val="32"/>
        </w:rPr>
        <w:t>12.署笔名的成果如何申报？</w:t>
      </w:r>
    </w:p>
    <w:p w14:paraId="49C87903">
      <w:pPr>
        <w:spacing w:line="566" w:lineRule="exact"/>
        <w:ind w:firstLine="640" w:firstLineChars="200"/>
        <w:rPr>
          <w:rFonts w:eastAsia="仿宋_GB2312"/>
          <w:sz w:val="32"/>
          <w:szCs w:val="32"/>
        </w:rPr>
      </w:pPr>
      <w:r>
        <w:rPr>
          <w:rFonts w:eastAsia="仿宋_GB2312"/>
          <w:sz w:val="32"/>
          <w:szCs w:val="32"/>
        </w:rPr>
        <w:t>——署笔名的成果，申报时应填写本人真实姓名，并由所在单位出具材料，证明成果作者确为申报者本人。</w:t>
      </w:r>
    </w:p>
    <w:p w14:paraId="2AD74F0B">
      <w:pPr>
        <w:spacing w:line="566" w:lineRule="exact"/>
        <w:ind w:firstLine="636" w:firstLineChars="198"/>
        <w:rPr>
          <w:rFonts w:eastAsia="仿宋_GB2312"/>
          <w:b/>
          <w:sz w:val="32"/>
          <w:szCs w:val="32"/>
        </w:rPr>
      </w:pPr>
      <w:r>
        <w:rPr>
          <w:rFonts w:eastAsia="仿宋_GB2312"/>
          <w:b/>
          <w:sz w:val="32"/>
          <w:szCs w:val="32"/>
        </w:rPr>
        <w:t>13.以团队、课题组、机构名义署名的成果如何填报？</w:t>
      </w:r>
    </w:p>
    <w:p w14:paraId="21002281">
      <w:pPr>
        <w:spacing w:line="566" w:lineRule="exact"/>
        <w:ind w:firstLine="640" w:firstLineChars="200"/>
        <w:rPr>
          <w:rFonts w:eastAsia="仿宋_GB2312"/>
          <w:sz w:val="32"/>
          <w:szCs w:val="32"/>
        </w:rPr>
      </w:pPr>
      <w:r>
        <w:rPr>
          <w:rFonts w:eastAsia="仿宋_GB2312"/>
          <w:sz w:val="32"/>
          <w:szCs w:val="32"/>
        </w:rPr>
        <w:t>——以团队、课题组、机构名义署名的成果，必须以团队、课题组、机构名义申报。</w:t>
      </w:r>
    </w:p>
    <w:p w14:paraId="1D38699C">
      <w:pPr>
        <w:spacing w:line="566" w:lineRule="exact"/>
        <w:ind w:firstLine="640" w:firstLineChars="200"/>
        <w:rPr>
          <w:rFonts w:eastAsia="仿宋_GB2312"/>
          <w:sz w:val="32"/>
          <w:szCs w:val="32"/>
        </w:rPr>
      </w:pPr>
      <w:r>
        <w:rPr>
          <w:rFonts w:eastAsia="仿宋_GB2312"/>
          <w:sz w:val="32"/>
          <w:szCs w:val="32"/>
        </w:rPr>
        <w:t>——多个团队、课题组、机构联合署名的成果，原则上以第一顺位团队、课题组或机构名义申报。</w:t>
      </w:r>
    </w:p>
    <w:p w14:paraId="183848BC">
      <w:pPr>
        <w:spacing w:line="566" w:lineRule="exact"/>
        <w:ind w:firstLine="643" w:firstLineChars="200"/>
        <w:rPr>
          <w:rFonts w:eastAsia="仿宋_GB2312"/>
          <w:b/>
          <w:sz w:val="32"/>
          <w:szCs w:val="32"/>
        </w:rPr>
      </w:pPr>
      <w:r>
        <w:rPr>
          <w:rFonts w:eastAsia="仿宋_GB2312"/>
          <w:b/>
          <w:sz w:val="32"/>
          <w:szCs w:val="32"/>
        </w:rPr>
        <w:t>14.每位申报者可以申报几项成果？</w:t>
      </w:r>
    </w:p>
    <w:p w14:paraId="424B1D94">
      <w:pPr>
        <w:spacing w:line="566" w:lineRule="exact"/>
        <w:ind w:firstLine="640" w:firstLineChars="200"/>
        <w:rPr>
          <w:rFonts w:eastAsia="仿宋_GB2312"/>
          <w:sz w:val="32"/>
          <w:szCs w:val="32"/>
        </w:rPr>
      </w:pPr>
      <w:r>
        <w:rPr>
          <w:rFonts w:eastAsia="仿宋_GB2312"/>
          <w:sz w:val="32"/>
          <w:szCs w:val="32"/>
        </w:rPr>
        <w:t>——每位申报者只能申报一项成果；参与其他成果申报的，项数不限。</w:t>
      </w:r>
    </w:p>
    <w:p w14:paraId="56BA82F7">
      <w:pPr>
        <w:spacing w:line="566" w:lineRule="exact"/>
        <w:ind w:firstLine="640" w:firstLineChars="200"/>
        <w:rPr>
          <w:rFonts w:eastAsia="仿宋_GB2312"/>
          <w:sz w:val="32"/>
          <w:szCs w:val="32"/>
        </w:rPr>
      </w:pPr>
      <w:r>
        <w:rPr>
          <w:rFonts w:eastAsia="仿宋_GB2312"/>
          <w:sz w:val="32"/>
          <w:szCs w:val="32"/>
        </w:rPr>
        <w:t>——第一署名人为同一人的多项成果，不论由第几作者申报，只能选择其中一项成果申报。</w:t>
      </w:r>
    </w:p>
    <w:p w14:paraId="4C3F3384">
      <w:pPr>
        <w:spacing w:line="566" w:lineRule="exact"/>
        <w:ind w:firstLine="643" w:firstLineChars="200"/>
        <w:rPr>
          <w:rFonts w:eastAsia="仿宋_GB2312"/>
          <w:b/>
          <w:sz w:val="32"/>
          <w:szCs w:val="32"/>
        </w:rPr>
      </w:pPr>
      <w:r>
        <w:rPr>
          <w:rFonts w:eastAsia="仿宋_GB2312"/>
          <w:b/>
          <w:sz w:val="32"/>
          <w:szCs w:val="32"/>
        </w:rPr>
        <w:t>15.同一成果是否可以同时申报多类奖项？</w:t>
      </w:r>
    </w:p>
    <w:p w14:paraId="2FA83D79">
      <w:pPr>
        <w:spacing w:line="566" w:lineRule="exact"/>
        <w:ind w:firstLine="640" w:firstLineChars="200"/>
        <w:rPr>
          <w:rFonts w:eastAsia="仿宋_GB2312"/>
          <w:sz w:val="32"/>
          <w:szCs w:val="32"/>
        </w:rPr>
      </w:pPr>
      <w:r>
        <w:rPr>
          <w:rFonts w:eastAsia="仿宋_GB2312"/>
          <w:sz w:val="32"/>
          <w:szCs w:val="32"/>
        </w:rPr>
        <w:t>——不可以，一个成果只能申报一类奖项。</w:t>
      </w:r>
    </w:p>
    <w:p w14:paraId="644B21B9">
      <w:pPr>
        <w:spacing w:line="566" w:lineRule="exact"/>
        <w:ind w:firstLine="643" w:firstLineChars="200"/>
        <w:rPr>
          <w:rFonts w:eastAsia="仿宋_GB2312"/>
          <w:b/>
          <w:sz w:val="32"/>
          <w:szCs w:val="32"/>
        </w:rPr>
      </w:pPr>
      <w:r>
        <w:rPr>
          <w:rFonts w:eastAsia="仿宋_GB2312"/>
          <w:b/>
          <w:sz w:val="32"/>
          <w:szCs w:val="32"/>
        </w:rPr>
        <w:t>16.已获其他省部级及以上奖项的成果是否可以申报？</w:t>
      </w:r>
    </w:p>
    <w:p w14:paraId="31599D16">
      <w:pPr>
        <w:spacing w:line="566" w:lineRule="exact"/>
        <w:ind w:firstLine="640" w:firstLineChars="200"/>
        <w:rPr>
          <w:rFonts w:eastAsia="仿宋_GB2312"/>
          <w:sz w:val="32"/>
          <w:szCs w:val="32"/>
        </w:rPr>
      </w:pPr>
      <w:r>
        <w:rPr>
          <w:rFonts w:eastAsia="仿宋_GB2312"/>
          <w:sz w:val="32"/>
          <w:szCs w:val="32"/>
        </w:rPr>
        <w:t>——可以申报。但已获上届高校科学研究优秀成果奖（人文社会科学）的成果不可以申报。</w:t>
      </w:r>
    </w:p>
    <w:p w14:paraId="55EC1787">
      <w:pPr>
        <w:spacing w:line="566" w:lineRule="exact"/>
        <w:ind w:firstLine="643" w:firstLineChars="200"/>
        <w:rPr>
          <w:rFonts w:eastAsia="仿宋_GB2312"/>
          <w:b/>
          <w:sz w:val="32"/>
          <w:szCs w:val="32"/>
        </w:rPr>
      </w:pPr>
      <w:r>
        <w:rPr>
          <w:rFonts w:eastAsia="仿宋_GB2312"/>
          <w:b/>
          <w:sz w:val="32"/>
          <w:szCs w:val="32"/>
        </w:rPr>
        <w:t>17.已经通过答辩但尚未出版或发表的学位论文或博士后出站报告是否可以申报？</w:t>
      </w:r>
    </w:p>
    <w:p w14:paraId="5D4F7B45">
      <w:pPr>
        <w:spacing w:line="566" w:lineRule="exact"/>
        <w:ind w:firstLine="640" w:firstLineChars="200"/>
        <w:rPr>
          <w:rFonts w:eastAsia="仿宋_GB2312"/>
          <w:sz w:val="32"/>
          <w:szCs w:val="32"/>
        </w:rPr>
      </w:pPr>
      <w:r>
        <w:rPr>
          <w:rFonts w:eastAsia="仿宋_GB2312"/>
          <w:sz w:val="32"/>
          <w:szCs w:val="32"/>
        </w:rPr>
        <w:t>——不可以申报。</w:t>
      </w:r>
    </w:p>
    <w:p w14:paraId="4D38EF1E">
      <w:pPr>
        <w:spacing w:line="566" w:lineRule="exact"/>
        <w:ind w:firstLine="643" w:firstLineChars="200"/>
        <w:rPr>
          <w:rFonts w:eastAsia="仿宋_GB2312"/>
          <w:b/>
          <w:sz w:val="32"/>
          <w:szCs w:val="32"/>
        </w:rPr>
      </w:pPr>
      <w:r>
        <w:rPr>
          <w:rFonts w:eastAsia="仿宋_GB2312"/>
          <w:b/>
          <w:sz w:val="32"/>
          <w:szCs w:val="32"/>
        </w:rPr>
        <w:t>18.涉密成果是否可以申报？</w:t>
      </w:r>
    </w:p>
    <w:p w14:paraId="1C3A1EB4">
      <w:pPr>
        <w:spacing w:line="566" w:lineRule="exact"/>
        <w:ind w:firstLine="640" w:firstLineChars="200"/>
        <w:rPr>
          <w:rFonts w:eastAsia="仿宋_GB2312"/>
          <w:sz w:val="32"/>
          <w:szCs w:val="32"/>
        </w:rPr>
      </w:pPr>
      <w:r>
        <w:rPr>
          <w:rFonts w:eastAsia="仿宋_GB2312"/>
          <w:sz w:val="32"/>
          <w:szCs w:val="32"/>
        </w:rPr>
        <w:t>——成果原文本身涉密不可以申报。如咨询服务报告类申报成果的批示涉密，处理方法参见第21条。任何涉密信息禁止上传全规办评奖申报系统。各二级管理单位应将申报材料是否涉密作为重点审核内容之一。</w:t>
      </w:r>
    </w:p>
    <w:p w14:paraId="7CB899D5">
      <w:pPr>
        <w:spacing w:line="566" w:lineRule="exact"/>
        <w:ind w:firstLine="643" w:firstLineChars="200"/>
        <w:rPr>
          <w:rFonts w:eastAsia="仿宋_GB2312"/>
          <w:b/>
          <w:sz w:val="32"/>
          <w:szCs w:val="32"/>
        </w:rPr>
      </w:pPr>
      <w:r>
        <w:rPr>
          <w:rFonts w:eastAsia="仿宋_GB2312"/>
          <w:b/>
          <w:sz w:val="32"/>
          <w:szCs w:val="32"/>
        </w:rPr>
        <w:t>19.对著作类申报成果有哪些要求？</w:t>
      </w:r>
    </w:p>
    <w:p w14:paraId="50F2744B">
      <w:pPr>
        <w:spacing w:line="566" w:lineRule="exact"/>
        <w:ind w:firstLine="633" w:firstLineChars="198"/>
        <w:rPr>
          <w:rFonts w:eastAsia="仿宋_GB2312"/>
          <w:sz w:val="32"/>
          <w:szCs w:val="32"/>
        </w:rPr>
      </w:pPr>
      <w:r>
        <w:rPr>
          <w:rFonts w:eastAsia="仿宋_GB2312"/>
          <w:sz w:val="32"/>
          <w:szCs w:val="32"/>
        </w:rPr>
        <w:t>——著作是指有国标书号，由正式出版部门出版并公开或内部发行的出版物，不包括只有内部准印证的出版物。著作形式含专著、编著、译著（外译中）、工具书、古籍整理，不含教材、教辅和文学艺术创作类作品。</w:t>
      </w:r>
    </w:p>
    <w:p w14:paraId="00643B17">
      <w:pPr>
        <w:spacing w:line="566" w:lineRule="exact"/>
        <w:ind w:firstLine="640" w:firstLineChars="200"/>
        <w:rPr>
          <w:rFonts w:eastAsia="仿宋_GB2312"/>
          <w:sz w:val="32"/>
          <w:szCs w:val="32"/>
        </w:rPr>
      </w:pPr>
      <w:r>
        <w:rPr>
          <w:rFonts w:eastAsia="仿宋_GB2312"/>
          <w:sz w:val="32"/>
          <w:szCs w:val="32"/>
        </w:rPr>
        <w:t>——多卷本研究著作是同一著作分若干卷</w:t>
      </w:r>
      <w:r>
        <w:rPr>
          <w:rFonts w:hint="eastAsia" w:eastAsia="仿宋_GB2312"/>
          <w:sz w:val="32"/>
          <w:szCs w:val="32"/>
        </w:rPr>
        <w:t>（</w:t>
      </w:r>
      <w:r>
        <w:rPr>
          <w:rFonts w:eastAsia="仿宋_GB2312"/>
          <w:sz w:val="32"/>
          <w:szCs w:val="32"/>
        </w:rPr>
        <w:t>册</w:t>
      </w:r>
      <w:r>
        <w:rPr>
          <w:rFonts w:hint="eastAsia" w:eastAsia="仿宋_GB2312"/>
          <w:sz w:val="32"/>
          <w:szCs w:val="32"/>
        </w:rPr>
        <w:t>）</w:t>
      </w:r>
      <w:r>
        <w:rPr>
          <w:rFonts w:eastAsia="仿宋_GB2312"/>
          <w:sz w:val="32"/>
          <w:szCs w:val="32"/>
        </w:rPr>
        <w:t>出版的图书，应在全部出版完成后做整体申报，以最后一卷出版的时间确定是否符合申报时限要求。</w:t>
      </w:r>
    </w:p>
    <w:p w14:paraId="203B8CAB">
      <w:pPr>
        <w:spacing w:line="566" w:lineRule="exact"/>
        <w:ind w:firstLine="640" w:firstLineChars="200"/>
        <w:rPr>
          <w:rFonts w:eastAsia="仿宋_GB2312"/>
          <w:sz w:val="32"/>
          <w:szCs w:val="32"/>
        </w:rPr>
      </w:pPr>
      <w:r>
        <w:rPr>
          <w:rFonts w:eastAsia="仿宋_GB2312"/>
          <w:sz w:val="32"/>
          <w:szCs w:val="32"/>
        </w:rPr>
        <w:t>——丛书是指由许多书汇集编成的一套书，不能作为一项研究成果整体申报，只能以其中独立完整的著作单独申报。</w:t>
      </w:r>
    </w:p>
    <w:p w14:paraId="27902F27">
      <w:pPr>
        <w:spacing w:line="566" w:lineRule="exact"/>
        <w:ind w:firstLine="640" w:firstLineChars="200"/>
        <w:rPr>
          <w:rFonts w:eastAsia="仿宋_GB2312"/>
          <w:sz w:val="32"/>
          <w:szCs w:val="32"/>
        </w:rPr>
      </w:pPr>
      <w:r>
        <w:rPr>
          <w:rFonts w:eastAsia="仿宋_GB2312"/>
          <w:sz w:val="32"/>
          <w:szCs w:val="32"/>
        </w:rPr>
        <w:t>——修订版著作可以申报，但修订前已获过本奖的成果本届不能再申报。修订版著作申报时须附有关说明，承诺修订前版本未获过本奖，并说明该版修订篇幅、章节和主要内容等。</w:t>
      </w:r>
    </w:p>
    <w:p w14:paraId="616DA16A">
      <w:pPr>
        <w:spacing w:line="566" w:lineRule="exact"/>
        <w:ind w:firstLine="640" w:firstLineChars="200"/>
        <w:rPr>
          <w:rFonts w:eastAsia="仿宋_GB2312"/>
          <w:sz w:val="32"/>
          <w:szCs w:val="32"/>
        </w:rPr>
      </w:pPr>
      <w:r>
        <w:rPr>
          <w:rFonts w:eastAsia="仿宋_GB2312"/>
          <w:sz w:val="32"/>
          <w:szCs w:val="32"/>
        </w:rPr>
        <w:t>——个人学术文集，在本届评奖申报时限内公开出版且首次发表内容不低于50%的，可作为著作类成果申报。</w:t>
      </w:r>
    </w:p>
    <w:p w14:paraId="45D64CD4">
      <w:pPr>
        <w:spacing w:line="566" w:lineRule="exact"/>
        <w:ind w:firstLine="640" w:firstLineChars="200"/>
        <w:rPr>
          <w:rFonts w:eastAsia="仿宋_GB2312"/>
          <w:sz w:val="32"/>
          <w:szCs w:val="32"/>
        </w:rPr>
      </w:pPr>
      <w:r>
        <w:rPr>
          <w:rFonts w:eastAsia="仿宋_GB2312"/>
          <w:sz w:val="32"/>
          <w:szCs w:val="32"/>
        </w:rPr>
        <w:t>——译著类成果仅限外译中成果申报，须在《专区申报评审表》中注明原著的语言种类。在专区评奖申报系统中上传成果材料时，须择要上传原著内容。</w:t>
      </w:r>
    </w:p>
    <w:p w14:paraId="494E3B61">
      <w:pPr>
        <w:spacing w:line="566" w:lineRule="exact"/>
        <w:ind w:firstLine="640" w:firstLineChars="200"/>
        <w:rPr>
          <w:rFonts w:eastAsia="仿宋_GB2312"/>
          <w:sz w:val="32"/>
          <w:szCs w:val="32"/>
        </w:rPr>
      </w:pPr>
      <w:r>
        <w:rPr>
          <w:rFonts w:eastAsia="仿宋_GB2312"/>
          <w:sz w:val="32"/>
          <w:szCs w:val="32"/>
        </w:rPr>
        <w:t>——以少数民族语言公开出版的著作，应上传主要章节的国家通用语言文字翻译；以外文公开出版的著作，应上传主要章节的中文翻译。</w:t>
      </w:r>
    </w:p>
    <w:p w14:paraId="5948D453">
      <w:pPr>
        <w:spacing w:line="566" w:lineRule="exact"/>
        <w:ind w:firstLine="643" w:firstLineChars="200"/>
        <w:rPr>
          <w:rFonts w:eastAsia="仿宋_GB2312"/>
          <w:b/>
          <w:sz w:val="32"/>
          <w:szCs w:val="32"/>
        </w:rPr>
      </w:pPr>
      <w:r>
        <w:rPr>
          <w:rFonts w:eastAsia="仿宋_GB2312"/>
          <w:b/>
          <w:sz w:val="32"/>
          <w:szCs w:val="32"/>
        </w:rPr>
        <w:t>20.对论文类申报成果有哪些要求？</w:t>
      </w:r>
    </w:p>
    <w:p w14:paraId="5A06570E">
      <w:pPr>
        <w:spacing w:line="566" w:lineRule="exact"/>
        <w:ind w:firstLine="640" w:firstLineChars="200"/>
        <w:rPr>
          <w:rFonts w:eastAsia="仿宋_GB2312"/>
          <w:sz w:val="32"/>
          <w:szCs w:val="32"/>
        </w:rPr>
      </w:pPr>
      <w:r>
        <w:rPr>
          <w:rFonts w:eastAsia="仿宋_GB2312"/>
          <w:sz w:val="32"/>
          <w:szCs w:val="32"/>
        </w:rPr>
        <w:t>——论文是指在国内外期刊或集刊、论文集上首次公开发表的研究成果。</w:t>
      </w:r>
    </w:p>
    <w:p w14:paraId="4046AB4C">
      <w:pPr>
        <w:spacing w:line="566" w:lineRule="exact"/>
        <w:ind w:firstLine="640" w:firstLineChars="200"/>
        <w:rPr>
          <w:rFonts w:eastAsia="仿宋_GB2312"/>
          <w:sz w:val="32"/>
          <w:szCs w:val="32"/>
        </w:rPr>
      </w:pPr>
      <w:r>
        <w:rPr>
          <w:rFonts w:eastAsia="仿宋_GB2312"/>
          <w:sz w:val="32"/>
          <w:szCs w:val="32"/>
        </w:rPr>
        <w:t>——多人撰写的论文集不能作为著作类成果申报，只能由论文作者以单篇进行申报。</w:t>
      </w:r>
    </w:p>
    <w:p w14:paraId="72265C12">
      <w:pPr>
        <w:spacing w:line="566" w:lineRule="exact"/>
        <w:ind w:firstLine="640" w:firstLineChars="200"/>
        <w:rPr>
          <w:rFonts w:eastAsia="仿宋_GB2312"/>
          <w:sz w:val="32"/>
          <w:szCs w:val="32"/>
        </w:rPr>
      </w:pPr>
      <w:r>
        <w:rPr>
          <w:rFonts w:eastAsia="仿宋_GB2312"/>
          <w:sz w:val="32"/>
          <w:szCs w:val="32"/>
        </w:rPr>
        <w:t>——系列论文，围绕一个专题，以个人或课题组名义以同一标题发表于同一刊物的系列论文，可作为论文类成果整体申报；对同一作者、同一主标题，不同副标题的论文，视为同一标题的系列论文；围绕一个专题，发表时标题各不相同的系列论文，不能做整体申报，只能选择其中一篇申报。</w:t>
      </w:r>
    </w:p>
    <w:p w14:paraId="44A71A19">
      <w:pPr>
        <w:spacing w:line="566" w:lineRule="exact"/>
        <w:ind w:firstLine="640" w:firstLineChars="200"/>
        <w:rPr>
          <w:rFonts w:eastAsia="仿宋_GB2312"/>
          <w:sz w:val="32"/>
          <w:szCs w:val="32"/>
        </w:rPr>
      </w:pPr>
      <w:r>
        <w:rPr>
          <w:rFonts w:eastAsia="仿宋_GB2312"/>
          <w:sz w:val="32"/>
          <w:szCs w:val="32"/>
        </w:rPr>
        <w:t>——对于国外期刊网络优先出版、优先发表的论文，若作者仅有电子版而无纸质原件，在申报时需提供文章的DOI（Digital Object Identifier）号码，并登录DOI验证网站（http://www.doi.org</w:t>
      </w:r>
      <w:r>
        <w:rPr>
          <w:rFonts w:hint="eastAsia" w:eastAsia="仿宋_GB2312"/>
          <w:sz w:val="32"/>
          <w:szCs w:val="32"/>
        </w:rPr>
        <w:t>）</w:t>
      </w:r>
      <w:r>
        <w:rPr>
          <w:rFonts w:eastAsia="仿宋_GB2312"/>
          <w:sz w:val="32"/>
          <w:szCs w:val="32"/>
        </w:rPr>
        <w:t>将输入DOI地址后查询得到的网页保存并上传，作为证明材料。</w:t>
      </w:r>
    </w:p>
    <w:p w14:paraId="59A0F8CA">
      <w:pPr>
        <w:spacing w:line="566" w:lineRule="exact"/>
        <w:ind w:firstLine="640" w:firstLineChars="200"/>
        <w:rPr>
          <w:rFonts w:eastAsia="仿宋_GB2312"/>
          <w:sz w:val="32"/>
          <w:szCs w:val="32"/>
        </w:rPr>
      </w:pPr>
      <w:r>
        <w:rPr>
          <w:rFonts w:eastAsia="仿宋_GB2312"/>
          <w:sz w:val="32"/>
          <w:szCs w:val="32"/>
        </w:rPr>
        <w:t>——在网上发表的论文不能申报，但被纸质媒体（如新华文摘等）转载的可以申报，发表期刊和时间以首次被转载期刊名称和时间为准。</w:t>
      </w:r>
    </w:p>
    <w:p w14:paraId="0F7530B5">
      <w:pPr>
        <w:spacing w:line="566" w:lineRule="exact"/>
        <w:ind w:firstLine="640" w:firstLineChars="200"/>
        <w:rPr>
          <w:rFonts w:eastAsia="仿宋_GB2312"/>
          <w:sz w:val="32"/>
          <w:szCs w:val="32"/>
        </w:rPr>
      </w:pPr>
      <w:r>
        <w:rPr>
          <w:rFonts w:eastAsia="仿宋_GB2312"/>
          <w:sz w:val="32"/>
          <w:szCs w:val="32"/>
        </w:rPr>
        <w:t>——以少数民族语言公开发表的论文，申报时应附有主要内容的国家通用语言文字摘要；以外文公开发表的论文，申报时应附有主要内容的中文摘要。</w:t>
      </w:r>
    </w:p>
    <w:p w14:paraId="1DDA42A2">
      <w:pPr>
        <w:spacing w:line="566" w:lineRule="exact"/>
        <w:ind w:firstLine="643" w:firstLineChars="200"/>
        <w:rPr>
          <w:rFonts w:eastAsia="仿宋_GB2312"/>
          <w:b/>
          <w:sz w:val="32"/>
          <w:szCs w:val="32"/>
        </w:rPr>
      </w:pPr>
      <w:r>
        <w:rPr>
          <w:rFonts w:eastAsia="仿宋_GB2312"/>
          <w:b/>
          <w:sz w:val="32"/>
          <w:szCs w:val="32"/>
        </w:rPr>
        <w:t>21.对咨询服务报告类申报成果有哪些要求？</w:t>
      </w:r>
    </w:p>
    <w:p w14:paraId="593B0124">
      <w:pPr>
        <w:spacing w:line="566" w:lineRule="exact"/>
        <w:ind w:firstLine="640" w:firstLineChars="200"/>
        <w:rPr>
          <w:rFonts w:eastAsia="仿宋_GB2312"/>
          <w:sz w:val="32"/>
          <w:szCs w:val="32"/>
        </w:rPr>
      </w:pPr>
      <w:r>
        <w:rPr>
          <w:rFonts w:eastAsia="仿宋_GB2312"/>
          <w:sz w:val="32"/>
          <w:szCs w:val="32"/>
        </w:rPr>
        <w:t>——咨询服务报告类成果全文不得涉密。原则上应提交实际应用部门（党政机关、事业单位等）采纳或批示证明，以及关于成果效果和社会影响方面的佐证材料。</w:t>
      </w:r>
    </w:p>
    <w:p w14:paraId="47A79613">
      <w:pPr>
        <w:spacing w:line="566" w:lineRule="exact"/>
        <w:ind w:firstLine="640" w:firstLineChars="200"/>
        <w:rPr>
          <w:rFonts w:eastAsia="仿宋_GB2312"/>
          <w:sz w:val="32"/>
          <w:szCs w:val="32"/>
        </w:rPr>
      </w:pPr>
      <w:r>
        <w:rPr>
          <w:rFonts w:eastAsia="仿宋_GB2312"/>
          <w:sz w:val="32"/>
          <w:szCs w:val="32"/>
        </w:rPr>
        <w:t>——若批示涉密，批示不得上传，由实际应用部门或本单位出具佐证材料，并注意写明批示时间。</w:t>
      </w:r>
    </w:p>
    <w:p w14:paraId="03352222">
      <w:pPr>
        <w:spacing w:line="566" w:lineRule="exact"/>
        <w:ind w:firstLine="640" w:firstLineChars="200"/>
        <w:rPr>
          <w:rFonts w:eastAsia="仿宋_GB2312"/>
          <w:sz w:val="32"/>
          <w:szCs w:val="32"/>
        </w:rPr>
      </w:pPr>
      <w:r>
        <w:rPr>
          <w:rFonts w:eastAsia="仿宋_GB2312"/>
          <w:sz w:val="32"/>
          <w:szCs w:val="32"/>
        </w:rPr>
        <w:t>——采纳时间以证明内容中明确说明的采纳时间为准；证明内容中未明确说明采纳时间的，以出具证明材料的落款时间为准。采纳时间应在2021年1月1日至2024年12月31日期间。</w:t>
      </w:r>
    </w:p>
    <w:p w14:paraId="286B33EA">
      <w:pPr>
        <w:spacing w:line="566" w:lineRule="exact"/>
        <w:ind w:firstLine="636" w:firstLineChars="198"/>
        <w:rPr>
          <w:rFonts w:eastAsia="仿宋_GB2312"/>
          <w:b/>
          <w:sz w:val="32"/>
          <w:szCs w:val="32"/>
        </w:rPr>
      </w:pPr>
      <w:r>
        <w:rPr>
          <w:rFonts w:eastAsia="仿宋_GB2312"/>
          <w:b/>
          <w:sz w:val="32"/>
          <w:szCs w:val="32"/>
        </w:rPr>
        <w:t>22.连续出版的年度发展报告类成果如何申报？</w:t>
      </w:r>
    </w:p>
    <w:p w14:paraId="33B36F61">
      <w:pPr>
        <w:spacing w:line="566" w:lineRule="exact"/>
        <w:ind w:firstLine="640" w:firstLineChars="200"/>
        <w:rPr>
          <w:rFonts w:eastAsia="仿宋_GB2312"/>
          <w:sz w:val="32"/>
          <w:szCs w:val="32"/>
        </w:rPr>
      </w:pPr>
      <w:r>
        <w:rPr>
          <w:rFonts w:eastAsia="仿宋_GB2312"/>
          <w:sz w:val="32"/>
          <w:szCs w:val="32"/>
        </w:rPr>
        <w:t>——可以申报，但不能将申报时限内出版的多本报告作为整体申报，只能以某一年度的报告进行单本申报。申报时，可报著作论文奖也可报咨询服务报告奖，但报咨询服务报告奖项时原则上应提交相关的采纳证明材料。</w:t>
      </w:r>
    </w:p>
    <w:p w14:paraId="05C49EC7">
      <w:pPr>
        <w:spacing w:line="566" w:lineRule="exact"/>
        <w:ind w:firstLine="636" w:firstLineChars="198"/>
        <w:rPr>
          <w:rFonts w:eastAsia="仿宋_GB2312"/>
          <w:sz w:val="32"/>
          <w:szCs w:val="32"/>
        </w:rPr>
      </w:pPr>
      <w:r>
        <w:rPr>
          <w:rFonts w:eastAsia="仿宋_GB2312"/>
          <w:b/>
          <w:sz w:val="32"/>
          <w:szCs w:val="32"/>
        </w:rPr>
        <w:t>23.申报普及读物奖有哪些要求？</w:t>
      </w:r>
    </w:p>
    <w:p w14:paraId="630BF728">
      <w:pPr>
        <w:spacing w:line="566" w:lineRule="exact"/>
        <w:ind w:firstLine="633" w:firstLineChars="198"/>
        <w:rPr>
          <w:rFonts w:eastAsia="仿宋_GB2312"/>
          <w:sz w:val="32"/>
          <w:szCs w:val="32"/>
        </w:rPr>
      </w:pPr>
      <w:r>
        <w:rPr>
          <w:rFonts w:eastAsia="仿宋_GB2312"/>
          <w:sz w:val="32"/>
          <w:szCs w:val="32"/>
        </w:rPr>
        <w:t>——普及读物奖成果形式为著作，指为宣传党的创新理论、阐释解答人民群众关心的热点难点问题以及教育科学知识传播普及而撰写的普及读物，应具有较强的科学性、知识性和可读性。需要提交有关成果效果和社会影响方面的佐证材料，包括图书发行量、书评、相关新闻报道、受众反响等。</w:t>
      </w:r>
    </w:p>
    <w:p w14:paraId="5D15A294">
      <w:pPr>
        <w:spacing w:line="566" w:lineRule="exact"/>
        <w:ind w:firstLine="633" w:firstLineChars="198"/>
        <w:rPr>
          <w:rFonts w:eastAsia="仿宋_GB2312"/>
          <w:sz w:val="32"/>
          <w:szCs w:val="32"/>
        </w:rPr>
      </w:pPr>
      <w:r>
        <w:rPr>
          <w:rFonts w:eastAsia="仿宋_GB2312"/>
          <w:sz w:val="32"/>
          <w:szCs w:val="32"/>
        </w:rPr>
        <w:t>——文学艺术创作类作品，如传记、小说、游记、散文、访谈、诗集、曲谱、画集、影集等，不在该奖项受理成果范围内。</w:t>
      </w:r>
    </w:p>
    <w:p w14:paraId="220AFAEF">
      <w:pPr>
        <w:spacing w:line="566" w:lineRule="exact"/>
        <w:ind w:firstLine="643" w:firstLineChars="200"/>
        <w:rPr>
          <w:rFonts w:eastAsia="仿宋_GB2312"/>
          <w:b/>
          <w:sz w:val="32"/>
          <w:szCs w:val="32"/>
        </w:rPr>
      </w:pPr>
      <w:r>
        <w:rPr>
          <w:rFonts w:eastAsia="仿宋_GB2312"/>
          <w:b/>
          <w:sz w:val="32"/>
          <w:szCs w:val="32"/>
        </w:rPr>
        <w:t>24.申报青年成果奖有哪些要求？</w:t>
      </w:r>
    </w:p>
    <w:p w14:paraId="1A495D45">
      <w:pPr>
        <w:spacing w:line="566" w:lineRule="exact"/>
        <w:ind w:firstLine="640" w:firstLineChars="200"/>
        <w:rPr>
          <w:rFonts w:eastAsia="仿宋_GB2312"/>
          <w:sz w:val="32"/>
          <w:szCs w:val="32"/>
        </w:rPr>
      </w:pPr>
      <w:r>
        <w:rPr>
          <w:rFonts w:eastAsia="仿宋_GB2312"/>
          <w:sz w:val="32"/>
          <w:szCs w:val="32"/>
        </w:rPr>
        <w:t>——申报者资格：应为申报成果的第一署名人，成果出版、发表或被采纳时年龄不超过40岁（以身份证件为准），女性申报者可相应放宽2年，不超过42岁。</w:t>
      </w:r>
    </w:p>
    <w:p w14:paraId="0B8BED9F">
      <w:pPr>
        <w:spacing w:line="566" w:lineRule="exact"/>
        <w:ind w:firstLine="640" w:firstLineChars="200"/>
        <w:rPr>
          <w:rFonts w:eastAsia="仿宋_GB2312"/>
          <w:sz w:val="32"/>
          <w:szCs w:val="32"/>
        </w:rPr>
      </w:pPr>
      <w:r>
        <w:rPr>
          <w:rFonts w:eastAsia="仿宋_GB2312"/>
          <w:sz w:val="32"/>
          <w:szCs w:val="32"/>
        </w:rPr>
        <w:t>——成果形式：包含著作、论文、咨询服务报告、普及读物，具体要求与前述对各类型成果的要求一致。</w:t>
      </w:r>
    </w:p>
    <w:p w14:paraId="1227A02A">
      <w:pPr>
        <w:spacing w:line="566" w:lineRule="exact"/>
        <w:ind w:firstLine="643" w:firstLineChars="200"/>
        <w:rPr>
          <w:rFonts w:eastAsia="仿宋_GB2312"/>
          <w:b/>
          <w:sz w:val="32"/>
          <w:szCs w:val="32"/>
        </w:rPr>
      </w:pPr>
      <w:bookmarkStart w:id="1" w:name="_Hlk205559048"/>
      <w:r>
        <w:rPr>
          <w:rFonts w:eastAsia="仿宋_GB2312"/>
          <w:b/>
          <w:sz w:val="32"/>
          <w:szCs w:val="32"/>
        </w:rPr>
        <w:t>25.网络申报有哪些注意事项？</w:t>
      </w:r>
    </w:p>
    <w:p w14:paraId="153835F7">
      <w:pPr>
        <w:spacing w:line="566" w:lineRule="exact"/>
        <w:ind w:firstLine="640" w:firstLineChars="200"/>
        <w:rPr>
          <w:rFonts w:eastAsia="仿宋_GB2312"/>
          <w:sz w:val="32"/>
          <w:szCs w:val="36"/>
        </w:rPr>
      </w:pPr>
      <w:r>
        <w:rPr>
          <w:rFonts w:eastAsia="仿宋_GB2312"/>
          <w:sz w:val="32"/>
          <w:szCs w:val="32"/>
        </w:rPr>
        <w:t>——全规办官方网站（https://onsgep.moe.edu.cn</w:t>
      </w:r>
      <w:r>
        <w:rPr>
          <w:rFonts w:hint="eastAsia" w:eastAsia="仿宋_GB2312"/>
          <w:sz w:val="32"/>
          <w:szCs w:val="32"/>
        </w:rPr>
        <w:t>）</w:t>
      </w:r>
      <w:r>
        <w:rPr>
          <w:rFonts w:eastAsia="仿宋_GB2312"/>
          <w:sz w:val="32"/>
          <w:szCs w:val="32"/>
        </w:rPr>
        <w:t>的评奖申报系统为专区评奖申报的网络平台。</w:t>
      </w:r>
      <w:r>
        <w:rPr>
          <w:rFonts w:eastAsia="仿宋_GB2312"/>
          <w:sz w:val="32"/>
          <w:szCs w:val="36"/>
        </w:rPr>
        <w:t>系统于2025年10月20日</w:t>
      </w:r>
      <w:r>
        <w:rPr>
          <w:rFonts w:hint="eastAsia" w:eastAsia="仿宋_GB2312"/>
          <w:sz w:val="32"/>
          <w:szCs w:val="36"/>
        </w:rPr>
        <w:t>9</w:t>
      </w:r>
      <w:r>
        <w:rPr>
          <w:rFonts w:eastAsia="仿宋_GB2312"/>
          <w:sz w:val="32"/>
          <w:szCs w:val="36"/>
        </w:rPr>
        <w:t>时开放，二级管理单位可登录系统查看申报限额。</w:t>
      </w:r>
    </w:p>
    <w:p w14:paraId="287AFBE1">
      <w:pPr>
        <w:spacing w:line="566" w:lineRule="exact"/>
        <w:ind w:firstLine="640" w:firstLineChars="200"/>
        <w:rPr>
          <w:rFonts w:eastAsia="仿宋_GB2312"/>
          <w:sz w:val="32"/>
          <w:szCs w:val="32"/>
        </w:rPr>
      </w:pPr>
      <w:r>
        <w:rPr>
          <w:rFonts w:eastAsia="仿宋_GB2312"/>
          <w:sz w:val="32"/>
          <w:szCs w:val="32"/>
        </w:rPr>
        <w:t>——全规办官方网站的管理平台采用统一账号，二级管理单位在之前项目申报或其他工作过程中已开通平台账号的，继续使用原账号。</w:t>
      </w:r>
    </w:p>
    <w:p w14:paraId="111DB498">
      <w:pPr>
        <w:spacing w:line="566" w:lineRule="exact"/>
        <w:ind w:firstLine="640" w:firstLineChars="200"/>
        <w:rPr>
          <w:rFonts w:eastAsia="仿宋_GB2312"/>
          <w:sz w:val="32"/>
          <w:szCs w:val="32"/>
        </w:rPr>
      </w:pPr>
      <w:r>
        <w:rPr>
          <w:rFonts w:eastAsia="仿宋_GB2312"/>
          <w:sz w:val="32"/>
          <w:szCs w:val="32"/>
        </w:rPr>
        <w:t>——申报者访问（无需登录）全规办评奖申报系统，在平台</w:t>
      </w:r>
      <w:r>
        <w:rPr>
          <w:rFonts w:hint="eastAsia" w:eastAsia="仿宋_GB2312"/>
          <w:sz w:val="32"/>
          <w:szCs w:val="32"/>
        </w:rPr>
        <w:t>“</w:t>
      </w:r>
      <w:r>
        <w:rPr>
          <w:rFonts w:eastAsia="仿宋_GB2312"/>
          <w:sz w:val="32"/>
          <w:szCs w:val="32"/>
        </w:rPr>
        <w:t>通知公告</w:t>
      </w:r>
      <w:r>
        <w:rPr>
          <w:rFonts w:hint="eastAsia" w:eastAsia="仿宋_GB2312"/>
          <w:sz w:val="32"/>
          <w:szCs w:val="32"/>
        </w:rPr>
        <w:t>”</w:t>
      </w:r>
      <w:r>
        <w:rPr>
          <w:rFonts w:eastAsia="仿宋_GB2312"/>
          <w:sz w:val="32"/>
          <w:szCs w:val="32"/>
        </w:rPr>
        <w:t>栏目下载《第十届教育部科学研究优秀成果奖（人文社会科学）</w:t>
      </w:r>
      <w:r>
        <w:rPr>
          <w:rFonts w:hint="eastAsia" w:eastAsia="仿宋_GB2312"/>
          <w:sz w:val="32"/>
          <w:szCs w:val="32"/>
        </w:rPr>
        <w:t>“</w:t>
      </w:r>
      <w:r>
        <w:rPr>
          <w:rFonts w:eastAsia="仿宋_GB2312"/>
          <w:sz w:val="32"/>
          <w:szCs w:val="32"/>
        </w:rPr>
        <w:t>教育科学研究</w:t>
      </w:r>
      <w:r>
        <w:rPr>
          <w:rFonts w:hint="eastAsia" w:eastAsia="仿宋_GB2312"/>
          <w:sz w:val="32"/>
          <w:szCs w:val="32"/>
        </w:rPr>
        <w:t>”</w:t>
      </w:r>
      <w:r>
        <w:rPr>
          <w:rFonts w:eastAsia="仿宋_GB2312"/>
          <w:sz w:val="32"/>
          <w:szCs w:val="32"/>
        </w:rPr>
        <w:t>专区申报评审表》（以下简称《专区申报评审表》）进行填写。</w:t>
      </w:r>
    </w:p>
    <w:p w14:paraId="3BA5D421">
      <w:pPr>
        <w:spacing w:line="566" w:lineRule="exact"/>
        <w:ind w:firstLine="640" w:firstLineChars="200"/>
        <w:rPr>
          <w:rFonts w:eastAsia="仿宋_GB2312"/>
          <w:sz w:val="32"/>
          <w:szCs w:val="32"/>
        </w:rPr>
      </w:pPr>
      <w:r>
        <w:rPr>
          <w:rFonts w:eastAsia="仿宋_GB2312"/>
          <w:sz w:val="32"/>
          <w:szCs w:val="32"/>
        </w:rPr>
        <w:t>——填写完成后，申报者将</w:t>
      </w:r>
      <w:r>
        <w:rPr>
          <w:rFonts w:eastAsia="仿宋_GB2312"/>
          <w:sz w:val="32"/>
          <w:szCs w:val="36"/>
        </w:rPr>
        <w:t>《</w:t>
      </w:r>
      <w:r>
        <w:rPr>
          <w:rFonts w:eastAsia="仿宋_GB2312"/>
          <w:sz w:val="32"/>
          <w:szCs w:val="32"/>
        </w:rPr>
        <w:t>专区申报评审表》的</w:t>
      </w:r>
      <w:r>
        <w:rPr>
          <w:rFonts w:eastAsia="仿宋_GB2312"/>
          <w:sz w:val="32"/>
          <w:szCs w:val="36"/>
        </w:rPr>
        <w:t>WORD版和加盖单位公章的PDF版（部属单位也可在完成推荐公示后再加盖公章）</w:t>
      </w:r>
      <w:r>
        <w:rPr>
          <w:rFonts w:eastAsia="仿宋_GB2312"/>
          <w:sz w:val="32"/>
          <w:szCs w:val="32"/>
        </w:rPr>
        <w:t>、成果及佐证材料的PDF版于11月</w:t>
      </w:r>
      <w:r>
        <w:rPr>
          <w:rFonts w:hint="eastAsia" w:eastAsia="仿宋_GB2312"/>
          <w:sz w:val="32"/>
          <w:szCs w:val="32"/>
        </w:rPr>
        <w:t>6</w:t>
      </w:r>
      <w:r>
        <w:rPr>
          <w:rFonts w:eastAsia="仿宋_GB2312"/>
          <w:sz w:val="32"/>
          <w:szCs w:val="32"/>
        </w:rPr>
        <w:t>日前提交给二级管理单位。申报者个人须对提交内容的真实性和准确性负责。</w:t>
      </w:r>
    </w:p>
    <w:p w14:paraId="63C7D692">
      <w:pPr>
        <w:spacing w:line="566" w:lineRule="exact"/>
        <w:ind w:firstLine="640" w:firstLineChars="200"/>
        <w:rPr>
          <w:rFonts w:eastAsia="仿宋_GB2312"/>
          <w:sz w:val="32"/>
          <w:szCs w:val="36"/>
        </w:rPr>
      </w:pPr>
      <w:r>
        <w:rPr>
          <w:rFonts w:eastAsia="仿宋_GB2312"/>
          <w:sz w:val="32"/>
          <w:szCs w:val="36"/>
        </w:rPr>
        <w:t>——二级管理单位须按照申报限额，完成对申报成果的推荐，并对推荐材料进行公示。1</w:t>
      </w:r>
      <w:r>
        <w:rPr>
          <w:rFonts w:hint="eastAsia" w:eastAsia="仿宋_GB2312"/>
          <w:sz w:val="32"/>
          <w:szCs w:val="36"/>
        </w:rPr>
        <w:t>1</w:t>
      </w:r>
      <w:r>
        <w:rPr>
          <w:rFonts w:eastAsia="仿宋_GB2312"/>
          <w:sz w:val="32"/>
          <w:szCs w:val="36"/>
        </w:rPr>
        <w:t>月</w:t>
      </w:r>
      <w:r>
        <w:rPr>
          <w:rFonts w:hint="eastAsia" w:eastAsia="仿宋_GB2312"/>
          <w:sz w:val="32"/>
          <w:szCs w:val="36"/>
        </w:rPr>
        <w:t>26</w:t>
      </w:r>
      <w:r>
        <w:rPr>
          <w:rFonts w:eastAsia="仿宋_GB2312"/>
          <w:sz w:val="32"/>
          <w:szCs w:val="36"/>
        </w:rPr>
        <w:t>日17时</w:t>
      </w:r>
      <w:r>
        <w:rPr>
          <w:rFonts w:hint="eastAsia" w:eastAsia="仿宋_GB2312"/>
          <w:sz w:val="32"/>
          <w:szCs w:val="36"/>
        </w:rPr>
        <w:t>系统自动关闭</w:t>
      </w:r>
      <w:r>
        <w:rPr>
          <w:rFonts w:eastAsia="仿宋_GB2312"/>
          <w:sz w:val="32"/>
          <w:szCs w:val="36"/>
        </w:rPr>
        <w:t>，</w:t>
      </w:r>
      <w:r>
        <w:rPr>
          <w:rFonts w:hint="eastAsia" w:eastAsia="仿宋_GB2312"/>
          <w:sz w:val="32"/>
          <w:szCs w:val="36"/>
        </w:rPr>
        <w:t>在此之前二级管理单位</w:t>
      </w:r>
      <w:r>
        <w:rPr>
          <w:rFonts w:eastAsia="仿宋_GB2312"/>
          <w:sz w:val="32"/>
          <w:szCs w:val="36"/>
        </w:rPr>
        <w:t>须将完成公示的推荐材料（《</w:t>
      </w:r>
      <w:r>
        <w:rPr>
          <w:rFonts w:eastAsia="仿宋_GB2312"/>
          <w:sz w:val="32"/>
          <w:szCs w:val="32"/>
        </w:rPr>
        <w:t>专区申报评审表》的</w:t>
      </w:r>
      <w:r>
        <w:rPr>
          <w:rFonts w:eastAsia="仿宋_GB2312"/>
          <w:sz w:val="32"/>
          <w:szCs w:val="36"/>
        </w:rPr>
        <w:t>WORD版和加盖公章的PDF版</w:t>
      </w:r>
      <w:r>
        <w:rPr>
          <w:rFonts w:eastAsia="仿宋_GB2312"/>
          <w:sz w:val="32"/>
          <w:szCs w:val="32"/>
        </w:rPr>
        <w:t>、成果及佐证材料的PDF版</w:t>
      </w:r>
      <w:r>
        <w:rPr>
          <w:rFonts w:eastAsia="仿宋_GB2312"/>
          <w:sz w:val="32"/>
          <w:szCs w:val="36"/>
        </w:rPr>
        <w:t>）和《推荐成果汇总表》上传系统，提交至全规办。</w:t>
      </w:r>
    </w:p>
    <w:p w14:paraId="047F7E0D">
      <w:pPr>
        <w:spacing w:line="566" w:lineRule="exact"/>
        <w:ind w:firstLine="640" w:firstLineChars="200"/>
        <w:rPr>
          <w:rFonts w:eastAsia="仿宋_GB2312"/>
          <w:sz w:val="32"/>
          <w:szCs w:val="36"/>
        </w:rPr>
      </w:pPr>
      <w:r>
        <w:rPr>
          <w:rFonts w:eastAsia="仿宋_GB2312"/>
          <w:sz w:val="32"/>
          <w:szCs w:val="36"/>
        </w:rPr>
        <w:t>——《推荐成果汇总表》由系统自动生成，须加盖二级管理单位公章，扫描为PDF版上传。</w:t>
      </w:r>
    </w:p>
    <w:p w14:paraId="2A13787D">
      <w:pPr>
        <w:spacing w:line="566" w:lineRule="exact"/>
        <w:ind w:firstLine="640" w:firstLineChars="200"/>
        <w:rPr>
          <w:rFonts w:eastAsia="仿宋_GB2312"/>
          <w:sz w:val="32"/>
          <w:szCs w:val="36"/>
        </w:rPr>
      </w:pPr>
      <w:r>
        <w:rPr>
          <w:rFonts w:eastAsia="仿宋_GB2312"/>
          <w:sz w:val="32"/>
          <w:szCs w:val="36"/>
        </w:rPr>
        <w:t>——在系统中提交至全规办的所有材料均视为经过各级单位审核同意。未经公示或公示异议尚未完成核查处理的推荐材料不予受理。</w:t>
      </w:r>
    </w:p>
    <w:p w14:paraId="48021CFD">
      <w:pPr>
        <w:spacing w:line="566" w:lineRule="exact"/>
        <w:ind w:firstLine="640" w:firstLineChars="200"/>
        <w:rPr>
          <w:rFonts w:eastAsia="仿宋_GB2312"/>
          <w:sz w:val="32"/>
          <w:szCs w:val="36"/>
        </w:rPr>
      </w:pPr>
      <w:r>
        <w:rPr>
          <w:rFonts w:eastAsia="仿宋_GB2312"/>
          <w:sz w:val="32"/>
          <w:szCs w:val="36"/>
        </w:rPr>
        <w:t>——《专区申报评审表》、成果及佐证材料、《推荐成果汇总表》</w:t>
      </w:r>
      <w:r>
        <w:rPr>
          <w:rFonts w:eastAsia="仿宋_GB2312"/>
          <w:sz w:val="32"/>
          <w:szCs w:val="32"/>
        </w:rPr>
        <w:t>均无需给全规办寄送纸质版。</w:t>
      </w:r>
    </w:p>
    <w:p w14:paraId="141EFDFD">
      <w:pPr>
        <w:spacing w:line="566" w:lineRule="exact"/>
        <w:ind w:firstLine="640" w:firstLineChars="200"/>
        <w:rPr>
          <w:rFonts w:eastAsia="仿宋_GB2312"/>
          <w:sz w:val="32"/>
          <w:szCs w:val="36"/>
        </w:rPr>
      </w:pPr>
      <w:r>
        <w:rPr>
          <w:rFonts w:eastAsia="仿宋_GB2312"/>
          <w:sz w:val="32"/>
          <w:szCs w:val="36"/>
        </w:rPr>
        <w:t>——</w:t>
      </w:r>
      <w:r>
        <w:rPr>
          <w:rFonts w:eastAsia="仿宋_GB2312"/>
          <w:sz w:val="32"/>
          <w:szCs w:val="32"/>
        </w:rPr>
        <w:t>国防军事教育科学研究成果的申报和评审参照执行，由相关部门负责组织，</w:t>
      </w:r>
      <w:r>
        <w:rPr>
          <w:rFonts w:eastAsia="仿宋_GB2312"/>
          <w:sz w:val="32"/>
          <w:szCs w:val="36"/>
        </w:rPr>
        <w:t>不使用上述评奖申报系统。</w:t>
      </w:r>
    </w:p>
    <w:p w14:paraId="040291DB">
      <w:pPr>
        <w:spacing w:line="566" w:lineRule="exact"/>
        <w:ind w:firstLine="643" w:firstLineChars="200"/>
        <w:rPr>
          <w:rFonts w:eastAsia="仿宋_GB2312"/>
          <w:b/>
          <w:bCs/>
          <w:sz w:val="32"/>
          <w:szCs w:val="36"/>
        </w:rPr>
      </w:pPr>
      <w:r>
        <w:rPr>
          <w:rFonts w:eastAsia="仿宋_GB2312"/>
          <w:b/>
          <w:bCs/>
          <w:sz w:val="32"/>
          <w:szCs w:val="36"/>
        </w:rPr>
        <w:t>26.成果材料和有关佐证材料的提供要求是什么？</w:t>
      </w:r>
    </w:p>
    <w:p w14:paraId="71A221D9">
      <w:pPr>
        <w:spacing w:line="566" w:lineRule="exact"/>
        <w:ind w:firstLine="640" w:firstLineChars="200"/>
        <w:rPr>
          <w:rFonts w:eastAsia="仿宋_GB2312"/>
          <w:sz w:val="32"/>
          <w:szCs w:val="36"/>
        </w:rPr>
      </w:pPr>
      <w:r>
        <w:rPr>
          <w:rFonts w:eastAsia="仿宋_GB2312"/>
          <w:sz w:val="32"/>
          <w:szCs w:val="36"/>
        </w:rPr>
        <w:t>——论文形式的成果材料包括但不限于：所在期刊封面、目录页、论文全文、转载证明（若有）。</w:t>
      </w:r>
    </w:p>
    <w:p w14:paraId="73F970DF">
      <w:pPr>
        <w:spacing w:line="566" w:lineRule="exact"/>
        <w:ind w:firstLine="640" w:firstLineChars="200"/>
        <w:rPr>
          <w:rFonts w:eastAsia="仿宋_GB2312"/>
          <w:sz w:val="32"/>
          <w:szCs w:val="36"/>
        </w:rPr>
      </w:pPr>
      <w:r>
        <w:rPr>
          <w:rFonts w:eastAsia="仿宋_GB2312"/>
          <w:sz w:val="32"/>
          <w:szCs w:val="36"/>
        </w:rPr>
        <w:t>——图书形式的成果材料包括但不限于：封面、版权页、内容全文、出版基金证明（若有）。</w:t>
      </w:r>
    </w:p>
    <w:p w14:paraId="436C22B5">
      <w:pPr>
        <w:spacing w:line="566" w:lineRule="exact"/>
        <w:ind w:firstLine="640" w:firstLineChars="200"/>
        <w:rPr>
          <w:rFonts w:eastAsia="仿宋_GB2312"/>
          <w:sz w:val="32"/>
          <w:szCs w:val="32"/>
        </w:rPr>
      </w:pPr>
      <w:r>
        <w:rPr>
          <w:rFonts w:eastAsia="仿宋_GB2312"/>
          <w:sz w:val="32"/>
          <w:szCs w:val="36"/>
        </w:rPr>
        <w:t>——咨询报告类成果的材料包括但不限于：报告全文、</w:t>
      </w:r>
      <w:r>
        <w:rPr>
          <w:rFonts w:eastAsia="仿宋_GB2312"/>
          <w:sz w:val="32"/>
          <w:szCs w:val="32"/>
        </w:rPr>
        <w:t>采纳或批示证明，以及关于成果效果和社会影响方面的佐证材料。</w:t>
      </w:r>
    </w:p>
    <w:p w14:paraId="267C51CC">
      <w:pPr>
        <w:spacing w:line="566" w:lineRule="exact"/>
        <w:ind w:firstLine="640" w:firstLineChars="200"/>
        <w:contextualSpacing/>
        <w:rPr>
          <w:rFonts w:eastAsia="仿宋_GB2312"/>
          <w:sz w:val="32"/>
          <w:szCs w:val="32"/>
        </w:rPr>
      </w:pPr>
      <w:r>
        <w:rPr>
          <w:rFonts w:eastAsia="仿宋_GB2312"/>
          <w:sz w:val="32"/>
          <w:szCs w:val="32"/>
        </w:rPr>
        <w:t>——普及读物奖申报成果形式为著作，应提交关于成果效果和社会影响方面的佐证材料，包括图书发行量、书评、相关新闻报道、受众反响等。</w:t>
      </w:r>
    </w:p>
    <w:p w14:paraId="0A5AC2FF">
      <w:pPr>
        <w:spacing w:line="566" w:lineRule="exact"/>
        <w:ind w:firstLine="640" w:firstLineChars="200"/>
        <w:contextualSpacing/>
        <w:rPr>
          <w:rFonts w:eastAsia="仿宋_GB2312"/>
          <w:sz w:val="32"/>
          <w:szCs w:val="32"/>
        </w:rPr>
      </w:pPr>
      <w:r>
        <w:rPr>
          <w:rFonts w:eastAsia="仿宋_GB2312"/>
          <w:sz w:val="32"/>
          <w:szCs w:val="32"/>
        </w:rPr>
        <w:t>——其他需要上传的证明材料包括：授权证明、兼职证明</w:t>
      </w:r>
      <w:r>
        <w:rPr>
          <w:rFonts w:hint="eastAsia" w:eastAsia="仿宋_GB2312"/>
          <w:sz w:val="32"/>
          <w:szCs w:val="32"/>
        </w:rPr>
        <w:t>等</w:t>
      </w:r>
      <w:r>
        <w:rPr>
          <w:rFonts w:eastAsia="仿宋_GB2312"/>
          <w:sz w:val="32"/>
          <w:szCs w:val="32"/>
        </w:rPr>
        <w:t>。</w:t>
      </w:r>
    </w:p>
    <w:p w14:paraId="56F779D7">
      <w:pPr>
        <w:spacing w:line="566" w:lineRule="exact"/>
        <w:ind w:firstLine="640" w:firstLineChars="200"/>
        <w:rPr>
          <w:rFonts w:eastAsia="仿宋_GB2312"/>
          <w:sz w:val="32"/>
          <w:szCs w:val="36"/>
        </w:rPr>
      </w:pPr>
      <w:r>
        <w:rPr>
          <w:rFonts w:eastAsia="仿宋_GB2312"/>
          <w:sz w:val="32"/>
          <w:szCs w:val="36"/>
        </w:rPr>
        <w:t>——和申报成果无关的信息和材料禁止提供。</w:t>
      </w:r>
    </w:p>
    <w:p w14:paraId="6F0A18B3">
      <w:pPr>
        <w:spacing w:line="566" w:lineRule="exact"/>
        <w:ind w:firstLine="643" w:firstLineChars="200"/>
        <w:rPr>
          <w:rFonts w:eastAsia="仿宋_GB2312"/>
          <w:b/>
          <w:sz w:val="32"/>
          <w:szCs w:val="32"/>
        </w:rPr>
      </w:pPr>
      <w:r>
        <w:rPr>
          <w:rFonts w:eastAsia="仿宋_GB2312"/>
          <w:b/>
          <w:sz w:val="32"/>
          <w:szCs w:val="32"/>
        </w:rPr>
        <w:t>27.二级管理单位对推荐成果的申报材料进行审核的重点</w:t>
      </w:r>
      <w:r>
        <w:rPr>
          <w:rFonts w:hint="eastAsia" w:eastAsia="仿宋_GB2312"/>
          <w:b/>
          <w:sz w:val="32"/>
          <w:szCs w:val="32"/>
        </w:rPr>
        <w:t>是什么</w:t>
      </w:r>
      <w:r>
        <w:rPr>
          <w:rFonts w:eastAsia="仿宋_GB2312"/>
          <w:b/>
          <w:sz w:val="32"/>
          <w:szCs w:val="32"/>
        </w:rPr>
        <w:t>？</w:t>
      </w:r>
    </w:p>
    <w:p w14:paraId="716284EF">
      <w:pPr>
        <w:spacing w:line="566" w:lineRule="exact"/>
        <w:ind w:firstLine="640" w:firstLineChars="200"/>
        <w:rPr>
          <w:rFonts w:eastAsia="仿宋_GB2312"/>
          <w:sz w:val="32"/>
          <w:szCs w:val="32"/>
        </w:rPr>
      </w:pPr>
      <w:r>
        <w:rPr>
          <w:rFonts w:eastAsia="仿宋_GB2312"/>
          <w:sz w:val="32"/>
          <w:szCs w:val="32"/>
        </w:rPr>
        <w:t>——二级管理单位要切实把好政治方向关和学术质量关，审核重点：1.成果是否坚持正确的政治方向、价值取向和研究导向；2.是否符合学术道德和学术规范，有无知识产权等方面的争议；3.成果是否涉及国家秘密；4.申报资格、申报材料是否符合专区工作安排和实施办法有关规定，申报材料是否真实。如发现不符合规定或弄虚作假情形，一经核实取消推荐资格。</w:t>
      </w:r>
    </w:p>
    <w:p w14:paraId="6B92B30B">
      <w:pPr>
        <w:spacing w:line="566" w:lineRule="exact"/>
        <w:ind w:firstLine="643" w:firstLineChars="200"/>
        <w:rPr>
          <w:rFonts w:eastAsia="仿宋_GB2312"/>
          <w:b/>
          <w:sz w:val="32"/>
          <w:szCs w:val="32"/>
        </w:rPr>
      </w:pPr>
      <w:r>
        <w:rPr>
          <w:rFonts w:eastAsia="仿宋_GB2312"/>
          <w:b/>
          <w:sz w:val="32"/>
          <w:szCs w:val="32"/>
        </w:rPr>
        <w:t>28.二级管理单位对推荐成果进行公示的要求是什么？</w:t>
      </w:r>
    </w:p>
    <w:p w14:paraId="75EB8E53">
      <w:pPr>
        <w:spacing w:line="566" w:lineRule="exact"/>
        <w:ind w:firstLine="640" w:firstLineChars="200"/>
        <w:rPr>
          <w:rFonts w:eastAsia="仿宋_GB2312"/>
          <w:sz w:val="32"/>
          <w:szCs w:val="32"/>
        </w:rPr>
      </w:pPr>
      <w:r>
        <w:rPr>
          <w:rFonts w:eastAsia="仿宋_GB2312"/>
          <w:sz w:val="32"/>
          <w:szCs w:val="32"/>
        </w:rPr>
        <w:t>——本届专区评奖，</w:t>
      </w:r>
      <w:r>
        <w:rPr>
          <w:rFonts w:eastAsia="仿宋_GB2312"/>
          <w:bCs/>
          <w:sz w:val="32"/>
          <w:szCs w:val="32"/>
        </w:rPr>
        <w:t>二级管理单位对推荐成果</w:t>
      </w:r>
      <w:r>
        <w:rPr>
          <w:rFonts w:eastAsia="仿宋_GB2312"/>
          <w:sz w:val="32"/>
          <w:szCs w:val="32"/>
        </w:rPr>
        <w:t>组织两轮公示。</w:t>
      </w:r>
    </w:p>
    <w:p w14:paraId="68C0048E">
      <w:pPr>
        <w:spacing w:line="566" w:lineRule="exact"/>
        <w:ind w:firstLine="640" w:firstLineChars="200"/>
        <w:rPr>
          <w:rFonts w:eastAsia="仿宋_GB2312"/>
          <w:sz w:val="32"/>
          <w:szCs w:val="32"/>
        </w:rPr>
      </w:pPr>
      <w:r>
        <w:rPr>
          <w:rFonts w:eastAsia="仿宋_GB2312"/>
          <w:sz w:val="32"/>
          <w:szCs w:val="32"/>
        </w:rPr>
        <w:t>——</w:t>
      </w:r>
      <w:r>
        <w:rPr>
          <w:rFonts w:hint="eastAsia" w:eastAsia="仿宋_GB2312"/>
          <w:sz w:val="32"/>
          <w:szCs w:val="32"/>
        </w:rPr>
        <w:t>系统自动关闭</w:t>
      </w:r>
      <w:r>
        <w:rPr>
          <w:rFonts w:eastAsia="仿宋_GB2312"/>
          <w:sz w:val="32"/>
          <w:szCs w:val="32"/>
        </w:rPr>
        <w:t>前，二级管理单位组织完成第一轮公示，公示期不少于5个工作日。</w:t>
      </w:r>
    </w:p>
    <w:p w14:paraId="297BA5E9">
      <w:pPr>
        <w:spacing w:line="566" w:lineRule="exact"/>
        <w:ind w:firstLine="640" w:firstLineChars="200"/>
        <w:rPr>
          <w:rFonts w:eastAsia="仿宋_GB2312"/>
          <w:sz w:val="32"/>
          <w:szCs w:val="32"/>
        </w:rPr>
      </w:pPr>
      <w:r>
        <w:rPr>
          <w:rFonts w:eastAsia="仿宋_GB2312"/>
          <w:sz w:val="32"/>
          <w:szCs w:val="32"/>
        </w:rPr>
        <w:t>——公示无异议或异议核查处理后无异议的成果才可以报送，未经公示或未完成异议核查的申报材料不予受理。</w:t>
      </w:r>
    </w:p>
    <w:p w14:paraId="0798ABD2">
      <w:pPr>
        <w:spacing w:line="566" w:lineRule="exact"/>
        <w:ind w:firstLine="640" w:firstLineChars="200"/>
        <w:contextualSpacing/>
        <w:rPr>
          <w:rFonts w:eastAsia="仿宋_GB2312"/>
          <w:sz w:val="32"/>
          <w:szCs w:val="32"/>
        </w:rPr>
      </w:pPr>
      <w:r>
        <w:rPr>
          <w:rFonts w:eastAsia="仿宋_GB2312"/>
          <w:sz w:val="32"/>
          <w:szCs w:val="32"/>
        </w:rPr>
        <w:t>——全规办对各二级管理单位报送的推荐材料依据申报要求进行初审。初审结果通过评奖申报系统向各二级管理单位反馈，由各单位组织第二轮公示，公示期不少于10个工作日。</w:t>
      </w:r>
    </w:p>
    <w:p w14:paraId="07045868">
      <w:pPr>
        <w:spacing w:line="566" w:lineRule="exact"/>
        <w:ind w:firstLine="640" w:firstLineChars="200"/>
        <w:rPr>
          <w:rFonts w:eastAsia="仿宋_GB2312"/>
          <w:sz w:val="32"/>
          <w:szCs w:val="32"/>
        </w:rPr>
      </w:pPr>
      <w:r>
        <w:rPr>
          <w:rFonts w:eastAsia="仿宋_GB2312"/>
          <w:sz w:val="32"/>
          <w:szCs w:val="32"/>
        </w:rPr>
        <w:t>——公示无异议或异议核查处理后无异议的成果方可进入后续工作程序。</w:t>
      </w:r>
    </w:p>
    <w:p w14:paraId="4CC03B56">
      <w:pPr>
        <w:spacing w:line="566" w:lineRule="exact"/>
        <w:ind w:firstLine="643" w:firstLineChars="200"/>
        <w:rPr>
          <w:rFonts w:eastAsia="仿宋_GB2312"/>
          <w:b/>
          <w:sz w:val="32"/>
          <w:szCs w:val="32"/>
        </w:rPr>
      </w:pPr>
      <w:r>
        <w:rPr>
          <w:rFonts w:eastAsia="仿宋_GB2312"/>
          <w:b/>
          <w:sz w:val="32"/>
          <w:szCs w:val="32"/>
        </w:rPr>
        <w:t>29.《推荐成果汇总表》有什么要求？</w:t>
      </w:r>
    </w:p>
    <w:p w14:paraId="05B13CDE">
      <w:pPr>
        <w:spacing w:line="566" w:lineRule="exact"/>
        <w:ind w:firstLine="640" w:firstLineChars="200"/>
        <w:rPr>
          <w:rFonts w:eastAsia="仿宋_GB2312"/>
          <w:sz w:val="32"/>
          <w:szCs w:val="32"/>
        </w:rPr>
      </w:pPr>
      <w:r>
        <w:rPr>
          <w:rFonts w:eastAsia="仿宋_GB2312"/>
          <w:sz w:val="32"/>
          <w:szCs w:val="32"/>
        </w:rPr>
        <w:t>——系统生成的《推荐成果汇总表》必须填写联系人、联系方式并加盖公章。多页的，每页须标注页码和总页数，加盖骑缝章或每页加盖公章。务必仔细审核，《推荐成果汇总表》《专区申报评审表》和推荐成果信息应保持一致。</w:t>
      </w:r>
    </w:p>
    <w:bookmarkEnd w:id="1"/>
    <w:p w14:paraId="7B78D654">
      <w:pPr>
        <w:adjustRightInd/>
        <w:spacing w:line="600" w:lineRule="exact"/>
        <w:textAlignment w:val="auto"/>
        <w:rPr>
          <w:rFonts w:eastAsia="仿宋_GB2312"/>
          <w:sz w:val="32"/>
          <w:szCs w:val="32"/>
        </w:rPr>
      </w:pPr>
    </w:p>
    <w:p w14:paraId="0E973D7C"/>
    <w:sectPr>
      <w:footerReference r:id="rId5" w:type="default"/>
      <w:footerReference r:id="rId6" w:type="even"/>
      <w:pgSz w:w="11907" w:h="16840"/>
      <w:pgMar w:top="1440" w:right="1797" w:bottom="1440" w:left="1797" w:header="851" w:footer="1247" w:gutter="0"/>
      <w:pgNumType w:start="7"/>
      <w:cols w:space="720" w:num="1"/>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59D6A1C4-4003-4C78-BB1B-C0011E322B31}"/>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方正小标宋简体">
    <w:panose1 w:val="02010600010101010101"/>
    <w:charset w:val="86"/>
    <w:family w:val="auto"/>
    <w:pitch w:val="default"/>
    <w:sig w:usb0="00000001" w:usb1="080E0000" w:usb2="00000000" w:usb3="00000000" w:csb0="00040000" w:csb1="00000000"/>
    <w:embedRegular r:id="rId2" w:fontKey="{800E044C-3DB6-4C37-AF95-816726F20558}"/>
  </w:font>
  <w:font w:name="仿宋_GB2312">
    <w:altName w:val="仿宋"/>
    <w:panose1 w:val="02010609030101010101"/>
    <w:charset w:val="86"/>
    <w:family w:val="modern"/>
    <w:pitch w:val="default"/>
    <w:sig w:usb0="00000000" w:usb1="00000000" w:usb2="00000010" w:usb3="00000000" w:csb0="00040000" w:csb1="00000000"/>
    <w:embedRegular r:id="rId3" w:fontKey="{EC473643-BF69-4680-9A66-97862EB3B84F}"/>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A58B40">
    <w:pPr>
      <w:pStyle w:val="1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176582594"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a:effectLst/>
                    </wps:spPr>
                    <wps:txbx>
                      <w:txbxContent>
                        <w:p w14:paraId="1128AD82">
                          <w:pPr>
                            <w:rPr>
                              <w:rStyle w:val="27"/>
                              <w:sz w:val="28"/>
                              <w:szCs w:val="28"/>
                            </w:rPr>
                          </w:pPr>
                          <w:r>
                            <w:rPr>
                              <w:rStyle w:val="27"/>
                              <w:rFonts w:hint="eastAsia" w:ascii="宋体" w:hAnsi="宋体" w:cs="宋体"/>
                              <w:sz w:val="28"/>
                              <w:szCs w:val="28"/>
                            </w:rPr>
                            <w:t>—</w:t>
                          </w:r>
                          <w:r>
                            <w:rPr>
                              <w:rStyle w:val="27"/>
                              <w:sz w:val="28"/>
                              <w:szCs w:val="28"/>
                            </w:rPr>
                            <w:t xml:space="preserve"> </w:t>
                          </w:r>
                          <w:r>
                            <w:rPr>
                              <w:rStyle w:val="27"/>
                              <w:sz w:val="28"/>
                              <w:szCs w:val="28"/>
                            </w:rPr>
                            <w:fldChar w:fldCharType="begin"/>
                          </w:r>
                          <w:r>
                            <w:rPr>
                              <w:rStyle w:val="27"/>
                              <w:sz w:val="28"/>
                              <w:szCs w:val="28"/>
                            </w:rPr>
                            <w:instrText xml:space="preserve"> PAGE  \* MERGEFORMAT </w:instrText>
                          </w:r>
                          <w:r>
                            <w:rPr>
                              <w:rStyle w:val="27"/>
                              <w:sz w:val="28"/>
                              <w:szCs w:val="28"/>
                            </w:rPr>
                            <w:fldChar w:fldCharType="separate"/>
                          </w:r>
                          <w:r>
                            <w:rPr>
                              <w:rStyle w:val="27"/>
                              <w:sz w:val="28"/>
                              <w:szCs w:val="28"/>
                            </w:rPr>
                            <w:t>7</w:t>
                          </w:r>
                          <w:r>
                            <w:rPr>
                              <w:rStyle w:val="27"/>
                              <w:sz w:val="28"/>
                              <w:szCs w:val="28"/>
                            </w:rPr>
                            <w:fldChar w:fldCharType="end"/>
                          </w:r>
                          <w:r>
                            <w:rPr>
                              <w:rStyle w:val="27"/>
                              <w:sz w:val="28"/>
                              <w:szCs w:val="28"/>
                            </w:rPr>
                            <w:t xml:space="preserve"> </w:t>
                          </w:r>
                          <w:r>
                            <w:rPr>
                              <w:rStyle w:val="27"/>
                              <w:rFonts w:hint="eastAsia"/>
                              <w:sz w:val="28"/>
                              <w:szCs w:val="28"/>
                            </w:rPr>
                            <w:t>—</w:t>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IMzMV0QAAAAMBAAAPAAAAAAAAAAEA&#10;IAAAACIAAABkcnMvZG93bnJldi54bWxQSwECFAAUAAAACACHTuJAjHqUiBYCAAAYBAAADgAAAAAA&#10;AAABACAAAAAgAQAAZHJzL2Uyb0RvYy54bWxQSwUGAAAAAAYABgBZAQAAqAUAAAAA&#10;">
              <v:fill on="f" focussize="0,0"/>
              <v:stroke on="f"/>
              <v:imagedata o:title=""/>
              <o:lock v:ext="edit" aspectratio="f"/>
              <v:textbox inset="0mm,0mm,0mm,0mm" style="mso-fit-shape-to-text:t;">
                <w:txbxContent>
                  <w:p w14:paraId="1128AD82">
                    <w:pPr>
                      <w:rPr>
                        <w:rStyle w:val="27"/>
                        <w:sz w:val="28"/>
                        <w:szCs w:val="28"/>
                      </w:rPr>
                    </w:pPr>
                    <w:r>
                      <w:rPr>
                        <w:rStyle w:val="27"/>
                        <w:rFonts w:hint="eastAsia" w:ascii="宋体" w:hAnsi="宋体" w:cs="宋体"/>
                        <w:sz w:val="28"/>
                        <w:szCs w:val="28"/>
                      </w:rPr>
                      <w:t>—</w:t>
                    </w:r>
                    <w:r>
                      <w:rPr>
                        <w:rStyle w:val="27"/>
                        <w:sz w:val="28"/>
                        <w:szCs w:val="28"/>
                      </w:rPr>
                      <w:t xml:space="preserve"> </w:t>
                    </w:r>
                    <w:r>
                      <w:rPr>
                        <w:rStyle w:val="27"/>
                        <w:sz w:val="28"/>
                        <w:szCs w:val="28"/>
                      </w:rPr>
                      <w:fldChar w:fldCharType="begin"/>
                    </w:r>
                    <w:r>
                      <w:rPr>
                        <w:rStyle w:val="27"/>
                        <w:sz w:val="28"/>
                        <w:szCs w:val="28"/>
                      </w:rPr>
                      <w:instrText xml:space="preserve"> PAGE  \* MERGEFORMAT </w:instrText>
                    </w:r>
                    <w:r>
                      <w:rPr>
                        <w:rStyle w:val="27"/>
                        <w:sz w:val="28"/>
                        <w:szCs w:val="28"/>
                      </w:rPr>
                      <w:fldChar w:fldCharType="separate"/>
                    </w:r>
                    <w:r>
                      <w:rPr>
                        <w:rStyle w:val="27"/>
                        <w:sz w:val="28"/>
                        <w:szCs w:val="28"/>
                      </w:rPr>
                      <w:t>7</w:t>
                    </w:r>
                    <w:r>
                      <w:rPr>
                        <w:rStyle w:val="27"/>
                        <w:sz w:val="28"/>
                        <w:szCs w:val="28"/>
                      </w:rPr>
                      <w:fldChar w:fldCharType="end"/>
                    </w:r>
                    <w:r>
                      <w:rPr>
                        <w:rStyle w:val="27"/>
                        <w:sz w:val="28"/>
                        <w:szCs w:val="28"/>
                      </w:rPr>
                      <w:t xml:space="preserve"> </w:t>
                    </w:r>
                    <w:r>
                      <w:rPr>
                        <w:rStyle w:val="27"/>
                        <w:rFonts w:hint="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82561">
    <w:pPr>
      <w:pStyle w:val="12"/>
      <w:framePr w:wrap="around" w:vAnchor="text" w:hAnchor="margin" w:xAlign="center" w:y="1"/>
      <w:rPr>
        <w:rStyle w:val="18"/>
      </w:rPr>
    </w:pPr>
    <w:r>
      <w:rPr>
        <w:rStyle w:val="18"/>
      </w:rPr>
      <w:fldChar w:fldCharType="begin"/>
    </w:r>
    <w:r>
      <w:rPr>
        <w:rStyle w:val="18"/>
      </w:rPr>
      <w:instrText xml:space="preserve">PAGE  </w:instrText>
    </w:r>
    <w:r>
      <w:rPr>
        <w:rStyle w:val="18"/>
      </w:rPr>
      <w:fldChar w:fldCharType="end"/>
    </w:r>
  </w:p>
  <w:p w14:paraId="064ED91A">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A24"/>
    <w:rsid w:val="00245713"/>
    <w:rsid w:val="00667A24"/>
    <w:rsid w:val="006E793E"/>
    <w:rsid w:val="008F1732"/>
    <w:rsid w:val="00A05AE4"/>
    <w:rsid w:val="00D20A94"/>
    <w:rsid w:val="00D65355"/>
    <w:rsid w:val="66EF6D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iPriority="99"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kern w:val="0"/>
      <w:sz w:val="21"/>
      <w:szCs w:val="20"/>
      <w:lang w:val="en-US" w:eastAsia="zh-CN" w:bidi="ar-SA"/>
    </w:rPr>
  </w:style>
  <w:style w:type="paragraph" w:styleId="2">
    <w:name w:val="heading 1"/>
    <w:basedOn w:val="1"/>
    <w:next w:val="1"/>
    <w:link w:val="19"/>
    <w:qFormat/>
    <w:uiPriority w:val="9"/>
    <w:pPr>
      <w:keepNext/>
      <w:keepLines/>
      <w:adjustRightInd/>
      <w:spacing w:before="480" w:after="80" w:line="240" w:lineRule="auto"/>
      <w:textAlignment w:val="auto"/>
      <w:outlineLvl w:val="0"/>
    </w:pPr>
    <w:rPr>
      <w:rFonts w:asciiTheme="majorHAnsi" w:hAnsiTheme="majorHAnsi" w:eastAsiaTheme="majorEastAsia" w:cstheme="majorBidi"/>
      <w:color w:val="2F5597" w:themeColor="accent1" w:themeShade="BF"/>
      <w:kern w:val="2"/>
      <w:sz w:val="48"/>
      <w:szCs w:val="48"/>
    </w:rPr>
  </w:style>
  <w:style w:type="paragraph" w:styleId="3">
    <w:name w:val="heading 2"/>
    <w:basedOn w:val="1"/>
    <w:next w:val="1"/>
    <w:link w:val="20"/>
    <w:semiHidden/>
    <w:unhideWhenUsed/>
    <w:qFormat/>
    <w:uiPriority w:val="9"/>
    <w:pPr>
      <w:keepNext/>
      <w:keepLines/>
      <w:adjustRightInd/>
      <w:spacing w:before="160" w:after="80" w:line="240" w:lineRule="auto"/>
      <w:textAlignment w:val="auto"/>
      <w:outlineLvl w:val="1"/>
    </w:pPr>
    <w:rPr>
      <w:rFonts w:asciiTheme="majorHAnsi" w:hAnsiTheme="majorHAnsi" w:eastAsiaTheme="majorEastAsia" w:cstheme="majorBidi"/>
      <w:color w:val="2F5597" w:themeColor="accent1" w:themeShade="BF"/>
      <w:kern w:val="2"/>
      <w:sz w:val="40"/>
      <w:szCs w:val="40"/>
    </w:rPr>
  </w:style>
  <w:style w:type="paragraph" w:styleId="4">
    <w:name w:val="heading 3"/>
    <w:basedOn w:val="1"/>
    <w:next w:val="1"/>
    <w:link w:val="21"/>
    <w:semiHidden/>
    <w:unhideWhenUsed/>
    <w:qFormat/>
    <w:uiPriority w:val="9"/>
    <w:pPr>
      <w:keepNext/>
      <w:keepLines/>
      <w:adjustRightInd/>
      <w:spacing w:before="160" w:after="80" w:line="240" w:lineRule="auto"/>
      <w:textAlignment w:val="auto"/>
      <w:outlineLvl w:val="2"/>
    </w:pPr>
    <w:rPr>
      <w:rFonts w:asciiTheme="majorHAnsi" w:hAnsiTheme="majorHAnsi" w:eastAsiaTheme="majorEastAsia" w:cstheme="majorBidi"/>
      <w:color w:val="2F5597" w:themeColor="accent1" w:themeShade="BF"/>
      <w:kern w:val="2"/>
      <w:sz w:val="32"/>
      <w:szCs w:val="32"/>
    </w:rPr>
  </w:style>
  <w:style w:type="paragraph" w:styleId="5">
    <w:name w:val="heading 4"/>
    <w:basedOn w:val="1"/>
    <w:next w:val="1"/>
    <w:link w:val="22"/>
    <w:semiHidden/>
    <w:unhideWhenUsed/>
    <w:qFormat/>
    <w:uiPriority w:val="9"/>
    <w:pPr>
      <w:keepNext/>
      <w:keepLines/>
      <w:adjustRightInd/>
      <w:spacing w:before="80" w:after="40" w:line="240" w:lineRule="auto"/>
      <w:textAlignment w:val="auto"/>
      <w:outlineLvl w:val="3"/>
    </w:pPr>
    <w:rPr>
      <w:rFonts w:asciiTheme="minorHAnsi" w:hAnsiTheme="minorHAnsi" w:eastAsiaTheme="minorEastAsia" w:cstheme="majorBidi"/>
      <w:color w:val="2F5597" w:themeColor="accent1" w:themeShade="BF"/>
      <w:kern w:val="2"/>
      <w:sz w:val="28"/>
      <w:szCs w:val="28"/>
    </w:rPr>
  </w:style>
  <w:style w:type="paragraph" w:styleId="6">
    <w:name w:val="heading 5"/>
    <w:basedOn w:val="1"/>
    <w:next w:val="1"/>
    <w:link w:val="23"/>
    <w:semiHidden/>
    <w:unhideWhenUsed/>
    <w:qFormat/>
    <w:uiPriority w:val="9"/>
    <w:pPr>
      <w:keepNext/>
      <w:keepLines/>
      <w:adjustRightInd/>
      <w:spacing w:before="80" w:after="40" w:line="240" w:lineRule="auto"/>
      <w:textAlignment w:val="auto"/>
      <w:outlineLvl w:val="4"/>
    </w:pPr>
    <w:rPr>
      <w:rFonts w:asciiTheme="minorHAnsi" w:hAnsiTheme="minorHAnsi" w:eastAsiaTheme="minorEastAsia" w:cstheme="majorBidi"/>
      <w:color w:val="2F5597" w:themeColor="accent1" w:themeShade="BF"/>
      <w:kern w:val="2"/>
      <w:sz w:val="24"/>
      <w:szCs w:val="24"/>
    </w:rPr>
  </w:style>
  <w:style w:type="paragraph" w:styleId="7">
    <w:name w:val="heading 6"/>
    <w:basedOn w:val="1"/>
    <w:next w:val="1"/>
    <w:link w:val="24"/>
    <w:semiHidden/>
    <w:unhideWhenUsed/>
    <w:qFormat/>
    <w:uiPriority w:val="9"/>
    <w:pPr>
      <w:keepNext/>
      <w:keepLines/>
      <w:adjustRightInd/>
      <w:spacing w:before="40" w:line="240" w:lineRule="auto"/>
      <w:textAlignment w:val="auto"/>
      <w:outlineLvl w:val="5"/>
    </w:pPr>
    <w:rPr>
      <w:rFonts w:asciiTheme="minorHAnsi" w:hAnsiTheme="minorHAnsi" w:eastAsiaTheme="minorEastAsia" w:cstheme="majorBidi"/>
      <w:b/>
      <w:bCs/>
      <w:color w:val="2F5597" w:themeColor="accent1" w:themeShade="BF"/>
      <w:kern w:val="2"/>
      <w:szCs w:val="22"/>
    </w:rPr>
  </w:style>
  <w:style w:type="paragraph" w:styleId="8">
    <w:name w:val="heading 7"/>
    <w:basedOn w:val="1"/>
    <w:next w:val="1"/>
    <w:link w:val="25"/>
    <w:semiHidden/>
    <w:unhideWhenUsed/>
    <w:qFormat/>
    <w:uiPriority w:val="9"/>
    <w:pPr>
      <w:keepNext/>
      <w:keepLines/>
      <w:adjustRightInd/>
      <w:spacing w:before="40" w:line="240" w:lineRule="auto"/>
      <w:textAlignment w:val="auto"/>
      <w:outlineLvl w:val="6"/>
    </w:pPr>
    <w:rPr>
      <w:rFonts w:asciiTheme="minorHAnsi" w:hAnsiTheme="minorHAnsi" w:eastAsiaTheme="minorEastAsia" w:cstheme="majorBidi"/>
      <w:b/>
      <w:bCs/>
      <w:color w:val="595959" w:themeColor="text1" w:themeTint="A6"/>
      <w:kern w:val="2"/>
      <w:szCs w:val="22"/>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adjustRightInd/>
      <w:spacing w:line="240" w:lineRule="auto"/>
      <w:textAlignment w:val="auto"/>
      <w:outlineLvl w:val="7"/>
    </w:pPr>
    <w:rPr>
      <w:rFonts w:asciiTheme="minorHAnsi" w:hAnsiTheme="minorHAnsi" w:eastAsiaTheme="minorEastAsia" w:cstheme="majorBidi"/>
      <w:color w:val="595959" w:themeColor="text1" w:themeTint="A6"/>
      <w:kern w:val="2"/>
      <w:szCs w:val="22"/>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adjustRightInd/>
      <w:spacing w:line="240" w:lineRule="auto"/>
      <w:textAlignment w:val="auto"/>
      <w:outlineLvl w:val="8"/>
    </w:pPr>
    <w:rPr>
      <w:rFonts w:asciiTheme="minorHAnsi" w:hAnsiTheme="minorHAnsi" w:eastAsiaTheme="majorEastAsia" w:cstheme="majorBidi"/>
      <w:color w:val="595959" w:themeColor="text1" w:themeTint="A6"/>
      <w:kern w:val="2"/>
      <w:szCs w:val="22"/>
      <w14:textFill>
        <w14:solidFill>
          <w14:schemeClr w14:val="tx1">
            <w14:lumMod w14:val="65000"/>
            <w14:lumOff w14:val="35000"/>
          </w14:schemeClr>
        </w14:solidFill>
      </w14:textFill>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37"/>
    <w:uiPriority w:val="0"/>
    <w:pPr>
      <w:jc w:val="left"/>
    </w:pPr>
  </w:style>
  <w:style w:type="paragraph" w:styleId="12">
    <w:name w:val="footer"/>
    <w:basedOn w:val="1"/>
    <w:link w:val="38"/>
    <w:uiPriority w:val="0"/>
    <w:pPr>
      <w:tabs>
        <w:tab w:val="center" w:pos="4153"/>
        <w:tab w:val="right" w:pos="8306"/>
      </w:tabs>
      <w:snapToGrid w:val="0"/>
      <w:spacing w:line="240" w:lineRule="atLeast"/>
      <w:jc w:val="left"/>
    </w:pPr>
    <w:rPr>
      <w:sz w:val="18"/>
      <w:szCs w:val="18"/>
    </w:rPr>
  </w:style>
  <w:style w:type="paragraph" w:styleId="13">
    <w:name w:val="header"/>
    <w:basedOn w:val="1"/>
    <w:link w:val="40"/>
    <w:unhideWhenUsed/>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4">
    <w:name w:val="Subtitle"/>
    <w:basedOn w:val="1"/>
    <w:next w:val="1"/>
    <w:link w:val="29"/>
    <w:qFormat/>
    <w:uiPriority w:val="11"/>
    <w:pPr>
      <w:adjustRightInd/>
      <w:spacing w:after="160" w:line="240" w:lineRule="auto"/>
      <w:jc w:val="center"/>
      <w:textAlignment w:val="auto"/>
    </w:pPr>
    <w:rPr>
      <w:rFonts w:asciiTheme="majorHAnsi" w:hAnsiTheme="majorHAnsi" w:eastAsiaTheme="majorEastAsia" w:cstheme="majorBidi"/>
      <w:color w:val="595959" w:themeColor="text1" w:themeTint="A6"/>
      <w:spacing w:val="15"/>
      <w:kern w:val="2"/>
      <w:sz w:val="28"/>
      <w:szCs w:val="28"/>
      <w14:textFill>
        <w14:solidFill>
          <w14:schemeClr w14:val="tx1">
            <w14:lumMod w14:val="65000"/>
            <w14:lumOff w14:val="35000"/>
          </w14:schemeClr>
        </w14:solidFill>
      </w14:textFill>
    </w:rPr>
  </w:style>
  <w:style w:type="paragraph" w:styleId="15">
    <w:name w:val="Title"/>
    <w:basedOn w:val="1"/>
    <w:next w:val="1"/>
    <w:link w:val="28"/>
    <w:qFormat/>
    <w:uiPriority w:val="10"/>
    <w:pPr>
      <w:adjustRightInd/>
      <w:spacing w:after="80" w:line="240" w:lineRule="auto"/>
      <w:contextualSpacing/>
      <w:jc w:val="center"/>
      <w:textAlignment w:val="auto"/>
    </w:pPr>
    <w:rPr>
      <w:rFonts w:asciiTheme="majorHAnsi" w:hAnsiTheme="majorHAnsi" w:eastAsiaTheme="majorEastAsia" w:cstheme="majorBidi"/>
      <w:spacing w:val="-10"/>
      <w:kern w:val="28"/>
      <w:sz w:val="56"/>
      <w:szCs w:val="56"/>
    </w:rPr>
  </w:style>
  <w:style w:type="character" w:styleId="18">
    <w:name w:val="page number"/>
    <w:uiPriority w:val="0"/>
  </w:style>
  <w:style w:type="character" w:customStyle="1" w:styleId="19">
    <w:name w:val="标题 1 字符"/>
    <w:basedOn w:val="17"/>
    <w:link w:val="2"/>
    <w:qFormat/>
    <w:uiPriority w:val="9"/>
    <w:rPr>
      <w:rFonts w:asciiTheme="majorHAnsi" w:hAnsiTheme="majorHAnsi" w:eastAsiaTheme="majorEastAsia" w:cstheme="majorBidi"/>
      <w:color w:val="2F5597" w:themeColor="accent1" w:themeShade="BF"/>
      <w:sz w:val="48"/>
      <w:szCs w:val="48"/>
    </w:rPr>
  </w:style>
  <w:style w:type="character" w:customStyle="1" w:styleId="20">
    <w:name w:val="标题 2 字符"/>
    <w:basedOn w:val="17"/>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1">
    <w:name w:val="标题 3 字符"/>
    <w:basedOn w:val="17"/>
    <w:link w:val="4"/>
    <w:semiHidden/>
    <w:uiPriority w:val="9"/>
    <w:rPr>
      <w:rFonts w:asciiTheme="majorHAnsi" w:hAnsiTheme="majorHAnsi" w:eastAsiaTheme="majorEastAsia" w:cstheme="majorBidi"/>
      <w:color w:val="2F5597" w:themeColor="accent1" w:themeShade="BF"/>
      <w:sz w:val="32"/>
      <w:szCs w:val="32"/>
    </w:rPr>
  </w:style>
  <w:style w:type="character" w:customStyle="1" w:styleId="22">
    <w:name w:val="标题 4 字符"/>
    <w:basedOn w:val="17"/>
    <w:link w:val="5"/>
    <w:semiHidden/>
    <w:uiPriority w:val="9"/>
    <w:rPr>
      <w:rFonts w:cstheme="majorBidi"/>
      <w:color w:val="2F5597" w:themeColor="accent1" w:themeShade="BF"/>
      <w:sz w:val="28"/>
      <w:szCs w:val="28"/>
    </w:rPr>
  </w:style>
  <w:style w:type="character" w:customStyle="1" w:styleId="23">
    <w:name w:val="标题 5 字符"/>
    <w:basedOn w:val="17"/>
    <w:link w:val="6"/>
    <w:semiHidden/>
    <w:uiPriority w:val="9"/>
    <w:rPr>
      <w:rFonts w:cstheme="majorBidi"/>
      <w:color w:val="2F5597" w:themeColor="accent1" w:themeShade="BF"/>
      <w:sz w:val="24"/>
      <w:szCs w:val="24"/>
    </w:rPr>
  </w:style>
  <w:style w:type="character" w:customStyle="1" w:styleId="24">
    <w:name w:val="标题 6 字符"/>
    <w:basedOn w:val="17"/>
    <w:link w:val="7"/>
    <w:semiHidden/>
    <w:uiPriority w:val="9"/>
    <w:rPr>
      <w:rFonts w:cstheme="majorBidi"/>
      <w:b/>
      <w:bCs/>
      <w:color w:val="2F5597" w:themeColor="accent1" w:themeShade="BF"/>
    </w:rPr>
  </w:style>
  <w:style w:type="character" w:customStyle="1" w:styleId="25">
    <w:name w:val="标题 7 字符"/>
    <w:basedOn w:val="17"/>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7"/>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7"/>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7"/>
    <w:link w:val="15"/>
    <w:uiPriority w:val="10"/>
    <w:rPr>
      <w:rFonts w:asciiTheme="majorHAnsi" w:hAnsiTheme="majorHAnsi" w:eastAsiaTheme="majorEastAsia" w:cstheme="majorBidi"/>
      <w:spacing w:val="-10"/>
      <w:kern w:val="28"/>
      <w:sz w:val="56"/>
      <w:szCs w:val="56"/>
    </w:rPr>
  </w:style>
  <w:style w:type="character" w:customStyle="1" w:styleId="29">
    <w:name w:val="副标题 字符"/>
    <w:basedOn w:val="17"/>
    <w:link w:val="14"/>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adjustRightInd/>
      <w:spacing w:before="160" w:after="160" w:line="240" w:lineRule="auto"/>
      <w:jc w:val="center"/>
      <w:textAlignment w:val="auto"/>
    </w:pPr>
    <w:rPr>
      <w:rFonts w:asciiTheme="minorHAnsi" w:hAnsiTheme="minorHAnsi" w:eastAsiaTheme="minorEastAsia" w:cstheme="minorBidi"/>
      <w:i/>
      <w:iCs/>
      <w:color w:val="404040" w:themeColor="text1" w:themeTint="BF"/>
      <w:kern w:val="2"/>
      <w:szCs w:val="22"/>
      <w14:textFill>
        <w14:solidFill>
          <w14:schemeClr w14:val="tx1">
            <w14:lumMod w14:val="75000"/>
            <w14:lumOff w14:val="25000"/>
          </w14:schemeClr>
        </w14:solidFill>
      </w14:textFill>
    </w:rPr>
  </w:style>
  <w:style w:type="character" w:customStyle="1" w:styleId="31">
    <w:name w:val="引用 字符"/>
    <w:basedOn w:val="17"/>
    <w:link w:val="30"/>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adjustRightInd/>
      <w:spacing w:line="240" w:lineRule="auto"/>
      <w:ind w:left="720"/>
      <w:contextualSpacing/>
      <w:textAlignment w:val="auto"/>
    </w:pPr>
    <w:rPr>
      <w:rFonts w:asciiTheme="minorHAnsi" w:hAnsiTheme="minorHAnsi" w:eastAsiaTheme="minorEastAsia" w:cstheme="minorBidi"/>
      <w:kern w:val="2"/>
      <w:szCs w:val="22"/>
    </w:rPr>
  </w:style>
  <w:style w:type="character" w:customStyle="1" w:styleId="33">
    <w:name w:val="Intense Emphasis"/>
    <w:basedOn w:val="17"/>
    <w:qFormat/>
    <w:uiPriority w:val="21"/>
    <w:rPr>
      <w:i/>
      <w:iCs/>
      <w:color w:val="2F5597" w:themeColor="accent1" w:themeShade="BF"/>
    </w:rPr>
  </w:style>
  <w:style w:type="paragraph" w:styleId="34">
    <w:name w:val="Intense Quote"/>
    <w:basedOn w:val="1"/>
    <w:next w:val="1"/>
    <w:link w:val="35"/>
    <w:qFormat/>
    <w:uiPriority w:val="30"/>
    <w:pPr>
      <w:pBdr>
        <w:top w:val="single" w:color="2F5496" w:themeColor="accent1" w:themeShade="BF" w:sz="4" w:space="10"/>
        <w:bottom w:val="single" w:color="2F5496" w:themeColor="accent1" w:themeShade="BF" w:sz="4" w:space="10"/>
      </w:pBdr>
      <w:adjustRightInd/>
      <w:spacing w:before="360" w:after="360" w:line="240" w:lineRule="auto"/>
      <w:ind w:left="864" w:right="864"/>
      <w:jc w:val="center"/>
      <w:textAlignment w:val="auto"/>
    </w:pPr>
    <w:rPr>
      <w:rFonts w:asciiTheme="minorHAnsi" w:hAnsiTheme="minorHAnsi" w:eastAsiaTheme="minorEastAsia" w:cstheme="minorBidi"/>
      <w:i/>
      <w:iCs/>
      <w:color w:val="2F5597" w:themeColor="accent1" w:themeShade="BF"/>
      <w:kern w:val="2"/>
      <w:szCs w:val="22"/>
    </w:rPr>
  </w:style>
  <w:style w:type="character" w:customStyle="1" w:styleId="35">
    <w:name w:val="明显引用 字符"/>
    <w:basedOn w:val="17"/>
    <w:link w:val="34"/>
    <w:uiPriority w:val="30"/>
    <w:rPr>
      <w:i/>
      <w:iCs/>
      <w:color w:val="2F5597" w:themeColor="accent1" w:themeShade="BF"/>
    </w:rPr>
  </w:style>
  <w:style w:type="character" w:customStyle="1" w:styleId="36">
    <w:name w:val="Intense Reference"/>
    <w:basedOn w:val="17"/>
    <w:qFormat/>
    <w:uiPriority w:val="32"/>
    <w:rPr>
      <w:b/>
      <w:bCs/>
      <w:smallCaps/>
      <w:color w:val="2F5597" w:themeColor="accent1" w:themeShade="BF"/>
      <w:spacing w:val="5"/>
    </w:rPr>
  </w:style>
  <w:style w:type="character" w:customStyle="1" w:styleId="37">
    <w:name w:val="批注文字 字符"/>
    <w:basedOn w:val="17"/>
    <w:link w:val="11"/>
    <w:uiPriority w:val="0"/>
    <w:rPr>
      <w:rFonts w:ascii="Times New Roman" w:hAnsi="Times New Roman" w:eastAsia="宋体" w:cs="Times New Roman"/>
      <w:kern w:val="0"/>
      <w:szCs w:val="20"/>
    </w:rPr>
  </w:style>
  <w:style w:type="character" w:customStyle="1" w:styleId="38">
    <w:name w:val="页脚 字符"/>
    <w:basedOn w:val="17"/>
    <w:link w:val="12"/>
    <w:uiPriority w:val="0"/>
    <w:rPr>
      <w:rFonts w:ascii="Times New Roman" w:hAnsi="Times New Roman" w:eastAsia="宋体" w:cs="Times New Roman"/>
      <w:kern w:val="0"/>
      <w:sz w:val="18"/>
      <w:szCs w:val="18"/>
    </w:rPr>
  </w:style>
  <w:style w:type="paragraph" w:customStyle="1" w:styleId="39">
    <w:name w:val="_Style 17"/>
    <w:basedOn w:val="1"/>
    <w:uiPriority w:val="0"/>
    <w:pPr>
      <w:adjustRightInd/>
      <w:spacing w:line="240" w:lineRule="auto"/>
      <w:textAlignment w:val="auto"/>
    </w:pPr>
    <w:rPr>
      <w:rFonts w:ascii="Tahoma" w:hAnsi="Tahoma"/>
      <w:kern w:val="2"/>
      <w:sz w:val="24"/>
    </w:rPr>
  </w:style>
  <w:style w:type="character" w:customStyle="1" w:styleId="40">
    <w:name w:val="页眉 字符"/>
    <w:basedOn w:val="17"/>
    <w:link w:val="13"/>
    <w:uiPriority w:val="99"/>
    <w:rPr>
      <w:rFonts w:ascii="Times New Roman" w:hAnsi="Times New Roman" w:eastAsia="宋体" w:cs="Times New Roman"/>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5607</Words>
  <Characters>5851</Characters>
  <Lines>42</Lines>
  <Paragraphs>11</Paragraphs>
  <TotalTime>0</TotalTime>
  <ScaleCrop>false</ScaleCrop>
  <LinksUpToDate>false</LinksUpToDate>
  <CharactersWithSpaces>5853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2025-10-19T09:12:00Z</dcterms:created>
  <dc:creator>LW</dc:creator>
  <cp:lastModifiedBy>周佳</cp:lastModifiedBy>
  <dcterms:modified xsi:type="dcterms:W3CDTF">2025-10-28T03:25:13Z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eyJoZGlkIjoiODE3OWI2ZjljZTRkNDE3N2E5NDNhZTdmZmU4MWVjMDkiLCJ1c2VySWQiOiIxNDc5ODkzNTAxIn0=</vt:lpwstr>
  </property>
  <property fmtid="{D5CDD505-2E9C-101B-9397-08002B2CF9AE}" pid="3" name="KSOProductBuildVer">
    <vt:lpwstr>2052-12.1.0.21541</vt:lpwstr>
  </property>
  <property fmtid="{D5CDD505-2E9C-101B-9397-08002B2CF9AE}" pid="4" name="ICV">
    <vt:lpwstr>9532D4DB3A3B41B9BBCC81E01E6BCA65_12</vt:lpwstr>
  </property>
</Properties>
</file>